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CF14" w14:textId="77777777" w:rsidR="00E42F6B" w:rsidRDefault="00B96555">
      <w:r w:rsidRPr="00D526B0">
        <w:t>.</w:t>
      </w:r>
    </w:p>
    <w:p w14:paraId="451BCF15" w14:textId="77777777" w:rsidR="00E42F6B" w:rsidRDefault="00E42F6B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678"/>
        <w:gridCol w:w="2552"/>
      </w:tblGrid>
      <w:tr w:rsidR="00FF1BE2" w14:paraId="451BCF19" w14:textId="77777777" w:rsidTr="00E42F6B">
        <w:trPr>
          <w:cantSplit/>
          <w:jc w:val="center"/>
        </w:trPr>
        <w:tc>
          <w:tcPr>
            <w:tcW w:w="2835" w:type="dxa"/>
            <w:shd w:val="clear" w:color="auto" w:fill="BFBFBF"/>
            <w:vAlign w:val="center"/>
          </w:tcPr>
          <w:p w14:paraId="451BCF16" w14:textId="77777777" w:rsidR="00284E95" w:rsidRPr="00D4431F" w:rsidRDefault="00B96555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451BCF17" w14:textId="77777777" w:rsidR="00284E95" w:rsidRDefault="00B96555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51BCF18" w14:textId="77777777" w:rsidR="00284E95" w:rsidRPr="00D4431F" w:rsidRDefault="00B96555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FF1BE2" w14:paraId="451BCF20" w14:textId="77777777" w:rsidTr="00E42F6B">
        <w:trPr>
          <w:cantSplit/>
          <w:trHeight w:val="942"/>
          <w:jc w:val="center"/>
        </w:trPr>
        <w:tc>
          <w:tcPr>
            <w:tcW w:w="2835" w:type="dxa"/>
            <w:vAlign w:val="center"/>
          </w:tcPr>
          <w:p w14:paraId="451BCF1A" w14:textId="77777777" w:rsidR="00284E95" w:rsidRPr="00ED4FF1" w:rsidRDefault="00B96555" w:rsidP="00E42F6B">
            <w:pPr>
              <w:spacing w:after="0"/>
              <w:jc w:val="center"/>
            </w:pPr>
            <w:r w:rsidRPr="00ED4FF1">
              <w:fldChar w:fldCharType="begin"/>
            </w:r>
            <w:r>
              <w:instrText xml:space="preserve"> DOCPROPERTY  LeadDirector  \* MERGEFORMAT </w:instrText>
            </w:r>
            <w:r w:rsidRPr="00ED4FF1">
              <w:fldChar w:fldCharType="separate"/>
            </w:r>
            <w:r w:rsidRPr="00ED4FF1">
              <w:t>Director of Finance and Section 151 Officer</w:t>
            </w:r>
            <w:r w:rsidRPr="00ED4FF1">
              <w:fldChar w:fldCharType="end"/>
            </w:r>
          </w:p>
          <w:p w14:paraId="451BCF1B" w14:textId="77777777" w:rsidR="00284E95" w:rsidRPr="00ED4FF1" w:rsidRDefault="00B96555" w:rsidP="00E42F6B">
            <w:pPr>
              <w:jc w:val="center"/>
            </w:pPr>
            <w:r w:rsidRPr="00ED4FF1">
              <w:t xml:space="preserve">(Introduced by </w:t>
            </w:r>
            <w:r w:rsidRPr="00ED4FF1">
              <w:fldChar w:fldCharType="begin"/>
            </w:r>
            <w:r>
              <w:instrText xml:space="preserve"> DOCPROPERTY  LeadMember  \* MERGEFORMAT </w:instrText>
            </w:r>
            <w:r w:rsidRPr="00ED4FF1">
              <w:fldChar w:fldCharType="separate"/>
            </w:r>
            <w:r w:rsidRPr="00ED4FF1">
              <w:t>Cabinet Member (Finance, Property and Assets)</w:t>
            </w:r>
            <w:r w:rsidRPr="00ED4FF1">
              <w:fldChar w:fldCharType="end"/>
            </w:r>
            <w:r w:rsidRPr="00ED4FF1">
              <w:t>)</w:t>
            </w:r>
          </w:p>
        </w:tc>
        <w:tc>
          <w:tcPr>
            <w:tcW w:w="4678" w:type="dxa"/>
            <w:vAlign w:val="center"/>
          </w:tcPr>
          <w:p w14:paraId="451BCF1C" w14:textId="77777777" w:rsidR="003D421D" w:rsidRPr="00953774" w:rsidRDefault="00B96555" w:rsidP="00E42F6B">
            <w:pPr>
              <w:spacing w:line="240" w:lineRule="auto"/>
              <w:jc w:val="center"/>
              <w:rPr>
                <w:rFonts w:cstheme="minorHAnsi"/>
              </w:rPr>
            </w:pPr>
            <w:r w:rsidRPr="00953774">
              <w:rPr>
                <w:rFonts w:cstheme="minorHAnsi"/>
              </w:rPr>
              <w:t>Scrutiny Budget and Performance Panel</w:t>
            </w:r>
          </w:p>
          <w:p w14:paraId="451BCF1D" w14:textId="77777777" w:rsidR="00284E95" w:rsidRPr="00953774" w:rsidRDefault="00B96555" w:rsidP="00E42F6B">
            <w:pPr>
              <w:spacing w:line="240" w:lineRule="auto"/>
              <w:jc w:val="center"/>
              <w:rPr>
                <w:rFonts w:cstheme="minorHAnsi"/>
              </w:rPr>
            </w:pPr>
            <w:r w:rsidRPr="00953774">
              <w:rPr>
                <w:rFonts w:cstheme="minorHAnsi"/>
              </w:rPr>
              <w:t>Cabinet</w:t>
            </w:r>
          </w:p>
        </w:tc>
        <w:tc>
          <w:tcPr>
            <w:tcW w:w="2552" w:type="dxa"/>
            <w:vAlign w:val="center"/>
          </w:tcPr>
          <w:p w14:paraId="451BCF1E" w14:textId="77777777" w:rsidR="003764EC" w:rsidRPr="000A1A64" w:rsidRDefault="00B96555" w:rsidP="00541E0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Monday, 20 June 2022</w:t>
            </w:r>
          </w:p>
          <w:p w14:paraId="451BCF1F" w14:textId="77777777" w:rsidR="00953774" w:rsidRPr="00953774" w:rsidRDefault="00B96555" w:rsidP="003764E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Monday, </w:t>
            </w:r>
            <w:r w:rsidR="00541E07">
              <w:rPr>
                <w:rFonts w:cstheme="minorHAnsi"/>
              </w:rPr>
              <w:t>20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June</w:t>
            </w:r>
            <w:r w:rsidRPr="000A1A64">
              <w:rPr>
                <w:rFonts w:cstheme="minorHAnsi"/>
              </w:rPr>
              <w:t xml:space="preserve"> 2022</w:t>
            </w:r>
          </w:p>
        </w:tc>
      </w:tr>
    </w:tbl>
    <w:p w14:paraId="451BCF21" w14:textId="77777777" w:rsidR="00E42F6B" w:rsidRDefault="00E42F6B" w:rsidP="002A4A7D">
      <w:pPr>
        <w:spacing w:after="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FF1BE2" w14:paraId="451BCF24" w14:textId="77777777" w:rsidTr="00D96DE5">
        <w:trPr>
          <w:jc w:val="center"/>
        </w:trPr>
        <w:tc>
          <w:tcPr>
            <w:tcW w:w="5382" w:type="dxa"/>
            <w:shd w:val="clear" w:color="auto" w:fill="auto"/>
          </w:tcPr>
          <w:p w14:paraId="451BCF22" w14:textId="77777777" w:rsidR="00E42F6B" w:rsidRPr="00D1305C" w:rsidRDefault="00B96555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451BCF23" w14:textId="77777777" w:rsidR="00E42F6B" w:rsidRPr="00E42F6B" w:rsidRDefault="00B96555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</w:tc>
      </w:tr>
    </w:tbl>
    <w:p w14:paraId="451BCF25" w14:textId="77777777" w:rsidR="00E42F6B" w:rsidRDefault="00E42F6B" w:rsidP="002A4A7D">
      <w:pPr>
        <w:spacing w:after="0"/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FF1BE2" w14:paraId="451BCF28" w14:textId="77777777" w:rsidTr="00D96DE5">
        <w:trPr>
          <w:jc w:val="center"/>
        </w:trPr>
        <w:tc>
          <w:tcPr>
            <w:tcW w:w="5382" w:type="dxa"/>
            <w:shd w:val="clear" w:color="auto" w:fill="auto"/>
          </w:tcPr>
          <w:p w14:paraId="451BCF26" w14:textId="77777777" w:rsidR="00E42F6B" w:rsidRPr="00D1305C" w:rsidRDefault="00B96555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451BCF27" w14:textId="77777777" w:rsidR="00E42F6B" w:rsidRPr="00284E95" w:rsidRDefault="00B96555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Yes</w:t>
            </w:r>
          </w:p>
        </w:tc>
      </w:tr>
    </w:tbl>
    <w:p w14:paraId="451BCF29" w14:textId="77777777" w:rsidR="00CF42B2" w:rsidRDefault="00B96555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1BD08E" wp14:editId="451BD08F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6792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5392"/>
        <w:gridCol w:w="4678"/>
      </w:tblGrid>
      <w:tr w:rsidR="00FF1BE2" w14:paraId="451BCF2C" w14:textId="77777777" w:rsidTr="00E42F6B">
        <w:trPr>
          <w:jc w:val="center"/>
        </w:trPr>
        <w:tc>
          <w:tcPr>
            <w:tcW w:w="5392" w:type="dxa"/>
            <w:vAlign w:val="center"/>
          </w:tcPr>
          <w:p w14:paraId="451BCF2A" w14:textId="77777777" w:rsidR="00284E95" w:rsidRPr="00E42F6B" w:rsidRDefault="00B96555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 xml:space="preserve">Savings or expenditure amounting to greater than </w:t>
            </w:r>
            <w:r w:rsidRPr="00601548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£100,000</w:t>
            </w:r>
          </w:p>
        </w:tc>
        <w:tc>
          <w:tcPr>
            <w:tcW w:w="4678" w:type="dxa"/>
            <w:vAlign w:val="center"/>
          </w:tcPr>
          <w:p w14:paraId="451BCF2B" w14:textId="77777777" w:rsidR="00284E95" w:rsidRPr="00E42F6B" w:rsidRDefault="00B96555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 xml:space="preserve">Significant impact on 2 or more </w:t>
            </w: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council wards</w:t>
            </w:r>
          </w:p>
        </w:tc>
      </w:tr>
    </w:tbl>
    <w:p w14:paraId="451BCF2D" w14:textId="77777777" w:rsidR="00284E95" w:rsidRDefault="00284E95" w:rsidP="00E42F6B"/>
    <w:p w14:paraId="451BCF2E" w14:textId="77777777" w:rsidR="000179AF" w:rsidRPr="00883AC9" w:rsidRDefault="00B96555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>2021/22 Corporate Revenue Budget Monitoring Report and Reserves –</w:t>
      </w:r>
      <w:r w:rsidR="00BB14C5">
        <w:rPr>
          <w:rFonts w:asciiTheme="majorHAnsi" w:hAnsiTheme="majorHAnsi" w:cstheme="majorHAnsi"/>
          <w:sz w:val="28"/>
          <w:szCs w:val="28"/>
        </w:rPr>
        <w:t xml:space="preserve"> </w:t>
      </w:r>
      <w:r w:rsidR="003D0E3D">
        <w:rPr>
          <w:rFonts w:asciiTheme="majorHAnsi" w:hAnsiTheme="majorHAnsi" w:cstheme="majorHAnsi"/>
          <w:sz w:val="28"/>
          <w:szCs w:val="28"/>
        </w:rPr>
        <w:t xml:space="preserve">Provisional </w:t>
      </w:r>
      <w:r w:rsidR="00BB14C5">
        <w:rPr>
          <w:rFonts w:asciiTheme="majorHAnsi" w:hAnsiTheme="majorHAnsi" w:cstheme="majorHAnsi"/>
          <w:sz w:val="28"/>
          <w:szCs w:val="28"/>
        </w:rPr>
        <w:t>outturn</w:t>
      </w:r>
      <w:r>
        <w:rPr>
          <w:rFonts w:asciiTheme="majorHAnsi" w:hAnsiTheme="majorHAnsi" w:cstheme="majorHAnsi"/>
          <w:sz w:val="28"/>
          <w:szCs w:val="28"/>
        </w:rPr>
        <w:t xml:space="preserve"> position at 3</w:t>
      </w:r>
      <w:r w:rsidR="00014E88">
        <w:rPr>
          <w:rFonts w:asciiTheme="majorHAnsi" w:hAnsiTheme="majorHAnsi" w:cstheme="majorHAnsi"/>
          <w:sz w:val="28"/>
          <w:szCs w:val="28"/>
        </w:rPr>
        <w:t>1</w:t>
      </w:r>
      <w:r w:rsidR="00014E88" w:rsidRPr="00953774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953774">
        <w:rPr>
          <w:rFonts w:asciiTheme="majorHAnsi" w:hAnsiTheme="majorHAnsi" w:cstheme="majorHAnsi"/>
          <w:sz w:val="28"/>
          <w:szCs w:val="28"/>
        </w:rPr>
        <w:t xml:space="preserve"> </w:t>
      </w:r>
      <w:r w:rsidR="00BB14C5">
        <w:rPr>
          <w:rFonts w:asciiTheme="majorHAnsi" w:hAnsiTheme="majorHAnsi" w:cstheme="majorHAnsi"/>
          <w:sz w:val="28"/>
          <w:szCs w:val="28"/>
        </w:rPr>
        <w:t>March</w:t>
      </w:r>
      <w:r>
        <w:rPr>
          <w:rFonts w:asciiTheme="majorHAnsi" w:hAnsiTheme="majorHAnsi" w:cstheme="majorHAnsi"/>
          <w:sz w:val="28"/>
          <w:szCs w:val="28"/>
        </w:rPr>
        <w:t xml:space="preserve"> 202</w:t>
      </w:r>
      <w:r w:rsidR="00592569">
        <w:rPr>
          <w:rFonts w:asciiTheme="majorHAnsi" w:hAnsiTheme="majorHAnsi" w:cstheme="majorHAnsi"/>
          <w:sz w:val="28"/>
          <w:szCs w:val="28"/>
        </w:rPr>
        <w:t>2</w:t>
      </w:r>
    </w:p>
    <w:p w14:paraId="451BCF2F" w14:textId="77777777" w:rsidR="000179AF" w:rsidRPr="00ED4FF1" w:rsidRDefault="00B96555" w:rsidP="001668A0">
      <w:pPr>
        <w:pStyle w:val="Heading2"/>
        <w:rPr>
          <w:sz w:val="8"/>
        </w:rPr>
      </w:pPr>
      <w:r w:rsidRPr="00ED4FF1">
        <w:t>Purpose of the Report</w:t>
      </w:r>
    </w:p>
    <w:p w14:paraId="451BCF30" w14:textId="77777777" w:rsidR="000179AF" w:rsidRPr="001007B5" w:rsidRDefault="00B96555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007B5">
        <w:rPr>
          <w:rFonts w:cstheme="minorHAnsi"/>
          <w:bCs/>
          <w:iCs/>
        </w:rPr>
        <w:t>This report sets out the revenue and reserves</w:t>
      </w:r>
      <w:r w:rsidR="003D0E3D">
        <w:rPr>
          <w:rFonts w:cstheme="minorHAnsi"/>
          <w:bCs/>
          <w:iCs/>
        </w:rPr>
        <w:t xml:space="preserve"> provisional</w:t>
      </w:r>
      <w:r w:rsidRPr="001007B5">
        <w:rPr>
          <w:rFonts w:cstheme="minorHAnsi"/>
          <w:bCs/>
          <w:iCs/>
        </w:rPr>
        <w:t xml:space="preserve"> </w:t>
      </w:r>
      <w:r w:rsidR="00BB14C5">
        <w:rPr>
          <w:rFonts w:cstheme="minorHAnsi"/>
          <w:bCs/>
          <w:iCs/>
        </w:rPr>
        <w:t>outturn</w:t>
      </w:r>
      <w:r w:rsidRPr="001007B5">
        <w:rPr>
          <w:rFonts w:cstheme="minorHAnsi"/>
          <w:bCs/>
          <w:iCs/>
        </w:rPr>
        <w:t xml:space="preserve"> for the </w:t>
      </w:r>
      <w:r w:rsidR="00294DAD">
        <w:rPr>
          <w:rFonts w:cstheme="minorHAnsi"/>
          <w:bCs/>
          <w:iCs/>
        </w:rPr>
        <w:t>c</w:t>
      </w:r>
      <w:r w:rsidRPr="001007B5">
        <w:rPr>
          <w:rFonts w:cstheme="minorHAnsi"/>
          <w:bCs/>
          <w:iCs/>
        </w:rPr>
        <w:t>ouncil as at 3</w:t>
      </w:r>
      <w:r w:rsidR="00014E88" w:rsidRPr="001007B5">
        <w:rPr>
          <w:rFonts w:cstheme="minorHAnsi"/>
          <w:bCs/>
          <w:iCs/>
        </w:rPr>
        <w:t>1</w:t>
      </w:r>
      <w:r w:rsidR="00014E88" w:rsidRPr="001007B5">
        <w:rPr>
          <w:rFonts w:cstheme="minorHAnsi"/>
          <w:bCs/>
          <w:iCs/>
          <w:vertAlign w:val="superscript"/>
        </w:rPr>
        <w:t>st</w:t>
      </w:r>
      <w:r w:rsidR="00014E88" w:rsidRPr="001007B5">
        <w:rPr>
          <w:rFonts w:cstheme="minorHAnsi"/>
          <w:bCs/>
          <w:iCs/>
        </w:rPr>
        <w:t xml:space="preserve"> </w:t>
      </w:r>
      <w:r w:rsidR="00541E07">
        <w:rPr>
          <w:rFonts w:cstheme="minorHAnsi"/>
          <w:bCs/>
          <w:iCs/>
        </w:rPr>
        <w:t>March</w:t>
      </w:r>
      <w:r w:rsidRPr="001007B5">
        <w:rPr>
          <w:rFonts w:cstheme="minorHAnsi"/>
          <w:bCs/>
          <w:iCs/>
        </w:rPr>
        <w:t xml:space="preserve"> 202</w:t>
      </w:r>
      <w:r w:rsidR="008E68D0" w:rsidRPr="001007B5">
        <w:rPr>
          <w:rFonts w:cstheme="minorHAnsi"/>
          <w:bCs/>
          <w:iCs/>
        </w:rPr>
        <w:t>2</w:t>
      </w:r>
      <w:r w:rsidRPr="001007B5">
        <w:rPr>
          <w:rFonts w:cstheme="minorHAnsi"/>
          <w:bCs/>
          <w:iCs/>
        </w:rPr>
        <w:t>.</w:t>
      </w:r>
    </w:p>
    <w:p w14:paraId="451BCF31" w14:textId="77777777" w:rsidR="000179AF" w:rsidRPr="001007B5" w:rsidRDefault="000179AF" w:rsidP="000179AF">
      <w:pPr>
        <w:spacing w:after="0" w:line="240" w:lineRule="auto"/>
        <w:jc w:val="both"/>
        <w:rPr>
          <w:rFonts w:cstheme="minorHAnsi"/>
          <w:bCs/>
        </w:rPr>
      </w:pPr>
    </w:p>
    <w:p w14:paraId="451BCF32" w14:textId="77777777" w:rsidR="002A4A7D" w:rsidRPr="001007B5" w:rsidRDefault="00B96555" w:rsidP="001668A0">
      <w:pPr>
        <w:pStyle w:val="Heading2"/>
      </w:pPr>
      <w:r w:rsidRPr="001007B5">
        <w:t>Recommendations to Cabinet</w:t>
      </w:r>
    </w:p>
    <w:p w14:paraId="451BCF33" w14:textId="77777777" w:rsidR="002A4A7D" w:rsidRPr="001007B5" w:rsidRDefault="00B96555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007B5">
        <w:rPr>
          <w:rFonts w:cstheme="minorHAnsi"/>
          <w:bCs/>
          <w:iCs/>
        </w:rPr>
        <w:t xml:space="preserve">Note the </w:t>
      </w:r>
      <w:r w:rsidR="003D0E3D">
        <w:rPr>
          <w:rFonts w:cstheme="minorHAnsi"/>
          <w:bCs/>
          <w:iCs/>
        </w:rPr>
        <w:t xml:space="preserve">provisional </w:t>
      </w:r>
      <w:r w:rsidR="00BB14C5">
        <w:rPr>
          <w:rFonts w:cstheme="minorHAnsi"/>
          <w:bCs/>
          <w:iCs/>
        </w:rPr>
        <w:t>outturn</w:t>
      </w:r>
      <w:r w:rsidRPr="001007B5">
        <w:rPr>
          <w:rFonts w:cstheme="minorHAnsi"/>
          <w:bCs/>
          <w:iCs/>
        </w:rPr>
        <w:t xml:space="preserve"> position for revenue and reserves as at </w:t>
      </w:r>
      <w:r w:rsidR="00014E88" w:rsidRPr="001007B5">
        <w:rPr>
          <w:rFonts w:cstheme="minorHAnsi"/>
          <w:bCs/>
          <w:iCs/>
        </w:rPr>
        <w:t>31</w:t>
      </w:r>
      <w:r w:rsidR="00014E88" w:rsidRPr="001007B5">
        <w:rPr>
          <w:rFonts w:cstheme="minorHAnsi"/>
          <w:bCs/>
          <w:iCs/>
          <w:vertAlign w:val="superscript"/>
        </w:rPr>
        <w:t>st</w:t>
      </w:r>
      <w:r w:rsidR="008E68D0" w:rsidRPr="001007B5">
        <w:rPr>
          <w:rFonts w:cstheme="minorHAnsi"/>
          <w:bCs/>
          <w:iCs/>
        </w:rPr>
        <w:t xml:space="preserve"> </w:t>
      </w:r>
      <w:r w:rsidR="00541E07">
        <w:rPr>
          <w:rFonts w:cstheme="minorHAnsi"/>
          <w:bCs/>
          <w:iCs/>
        </w:rPr>
        <w:t>March</w:t>
      </w:r>
      <w:r w:rsidRPr="001007B5">
        <w:rPr>
          <w:rFonts w:cstheme="minorHAnsi"/>
          <w:bCs/>
          <w:iCs/>
        </w:rPr>
        <w:t xml:space="preserve"> 202</w:t>
      </w:r>
      <w:r w:rsidR="008E68D0" w:rsidRPr="001007B5">
        <w:rPr>
          <w:rFonts w:cstheme="minorHAnsi"/>
          <w:bCs/>
          <w:iCs/>
        </w:rPr>
        <w:t>2</w:t>
      </w:r>
      <w:r w:rsidRPr="001007B5">
        <w:rPr>
          <w:rFonts w:cstheme="minorHAnsi"/>
          <w:bCs/>
          <w:iCs/>
        </w:rPr>
        <w:t>.</w:t>
      </w:r>
    </w:p>
    <w:p w14:paraId="451BCF34" w14:textId="77777777" w:rsidR="00B74F8F" w:rsidRPr="001D75EF" w:rsidRDefault="00B74F8F" w:rsidP="001D75EF">
      <w:pPr>
        <w:rPr>
          <w:rFonts w:cstheme="minorHAnsi"/>
          <w:bCs/>
          <w:iCs/>
        </w:rPr>
      </w:pPr>
    </w:p>
    <w:p w14:paraId="451BCF35" w14:textId="77777777" w:rsidR="006C1482" w:rsidRPr="00593659" w:rsidRDefault="00B96555" w:rsidP="002030D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Arial" w:hAnsi="Arial" w:cs="Arial"/>
          <w:bCs/>
          <w:iCs/>
        </w:rPr>
      </w:pPr>
      <w:r w:rsidRPr="00D97342">
        <w:rPr>
          <w:rFonts w:ascii="Arial" w:eastAsia="Arial" w:hAnsi="Arial" w:cs="Arial"/>
          <w:bCs/>
          <w:iCs/>
        </w:rPr>
        <w:t xml:space="preserve">To </w:t>
      </w:r>
      <w:r w:rsidRPr="00593659">
        <w:rPr>
          <w:rFonts w:ascii="Arial" w:eastAsia="Arial" w:hAnsi="Arial" w:cs="Arial"/>
          <w:bCs/>
          <w:iCs/>
        </w:rPr>
        <w:t xml:space="preserve">approve the creation of </w:t>
      </w:r>
      <w:r w:rsidR="00EB56AF" w:rsidRPr="00593659">
        <w:rPr>
          <w:rFonts w:ascii="Arial" w:eastAsia="Arial" w:hAnsi="Arial" w:cs="Arial"/>
          <w:bCs/>
          <w:iCs/>
        </w:rPr>
        <w:t xml:space="preserve">the following reserves </w:t>
      </w:r>
      <w:r w:rsidRPr="00593659">
        <w:rPr>
          <w:rFonts w:ascii="Arial" w:eastAsia="Arial" w:hAnsi="Arial" w:cs="Arial"/>
          <w:bCs/>
          <w:iCs/>
        </w:rPr>
        <w:t>from the in-year underspen</w:t>
      </w:r>
      <w:r w:rsidR="00593659" w:rsidRPr="00593659">
        <w:rPr>
          <w:rFonts w:ascii="Arial" w:eastAsia="Arial" w:hAnsi="Arial" w:cs="Arial"/>
          <w:bCs/>
          <w:iCs/>
        </w:rPr>
        <w:t>d:</w:t>
      </w:r>
      <w:r w:rsidRPr="00593659">
        <w:rPr>
          <w:rFonts w:ascii="Arial" w:eastAsia="Arial" w:hAnsi="Arial" w:cs="Arial"/>
          <w:bCs/>
          <w:iCs/>
        </w:rPr>
        <w:t xml:space="preserve"> </w:t>
      </w:r>
    </w:p>
    <w:p w14:paraId="451BCF36" w14:textId="77777777" w:rsidR="00C47F76" w:rsidRPr="00593659" w:rsidRDefault="00B96555" w:rsidP="006C1482">
      <w:pPr>
        <w:numPr>
          <w:ilvl w:val="1"/>
          <w:numId w:val="17"/>
        </w:numPr>
        <w:spacing w:after="0" w:line="240" w:lineRule="auto"/>
        <w:contextualSpacing/>
        <w:jc w:val="both"/>
        <w:rPr>
          <w:rFonts w:cs="Arial"/>
          <w:bCs/>
          <w:iCs/>
        </w:rPr>
      </w:pPr>
      <w:r w:rsidRPr="00593659">
        <w:rPr>
          <w:rFonts w:cs="Arial"/>
          <w:bCs/>
          <w:iCs/>
        </w:rPr>
        <w:t>£</w:t>
      </w:r>
      <w:r w:rsidR="00593659" w:rsidRPr="00593659">
        <w:rPr>
          <w:rFonts w:cs="Arial"/>
          <w:bCs/>
          <w:iCs/>
        </w:rPr>
        <w:t>92</w:t>
      </w:r>
      <w:r w:rsidRPr="00593659">
        <w:rPr>
          <w:rFonts w:cs="Arial"/>
          <w:bCs/>
          <w:iCs/>
        </w:rPr>
        <w:t xml:space="preserve">k for the creation of a reserve for the costs of </w:t>
      </w:r>
      <w:r w:rsidR="00F20220" w:rsidRPr="00593659">
        <w:rPr>
          <w:rFonts w:cs="Arial"/>
          <w:bCs/>
          <w:iCs/>
        </w:rPr>
        <w:t xml:space="preserve">Planning </w:t>
      </w:r>
      <w:r w:rsidRPr="00593659">
        <w:rPr>
          <w:rFonts w:cs="Arial"/>
          <w:bCs/>
          <w:iCs/>
        </w:rPr>
        <w:t>A</w:t>
      </w:r>
      <w:r w:rsidR="00F20220" w:rsidRPr="00593659">
        <w:rPr>
          <w:rFonts w:cs="Arial"/>
          <w:bCs/>
          <w:iCs/>
        </w:rPr>
        <w:t xml:space="preserve">ppeals </w:t>
      </w:r>
      <w:r w:rsidRPr="00593659">
        <w:rPr>
          <w:rFonts w:cs="Arial"/>
          <w:bCs/>
          <w:iCs/>
        </w:rPr>
        <w:t xml:space="preserve">and </w:t>
      </w:r>
      <w:r w:rsidR="00F20220" w:rsidRPr="00593659">
        <w:rPr>
          <w:rFonts w:cs="Arial"/>
          <w:bCs/>
          <w:iCs/>
        </w:rPr>
        <w:t>inquir</w:t>
      </w:r>
      <w:r w:rsidRPr="00593659">
        <w:rPr>
          <w:rFonts w:cs="Arial"/>
          <w:bCs/>
          <w:iCs/>
        </w:rPr>
        <w:t>ies</w:t>
      </w:r>
      <w:r w:rsidR="00F20220" w:rsidRPr="00593659">
        <w:rPr>
          <w:rFonts w:cs="Arial"/>
          <w:bCs/>
          <w:iCs/>
        </w:rPr>
        <w:t>.</w:t>
      </w:r>
    </w:p>
    <w:p w14:paraId="451BCF37" w14:textId="77777777" w:rsidR="006C1482" w:rsidRPr="00593659" w:rsidRDefault="006C1482" w:rsidP="002030DB">
      <w:pPr>
        <w:spacing w:after="0" w:line="240" w:lineRule="auto"/>
        <w:ind w:left="1440"/>
        <w:contextualSpacing/>
        <w:jc w:val="both"/>
        <w:rPr>
          <w:rFonts w:cs="Arial"/>
          <w:bCs/>
          <w:iCs/>
        </w:rPr>
      </w:pPr>
    </w:p>
    <w:p w14:paraId="451BCF38" w14:textId="77777777" w:rsidR="000179AF" w:rsidRPr="00593659" w:rsidRDefault="00B96555" w:rsidP="001668A0">
      <w:pPr>
        <w:pStyle w:val="Heading2"/>
      </w:pPr>
      <w:r w:rsidRPr="00593659">
        <w:t>Executive summary</w:t>
      </w:r>
    </w:p>
    <w:p w14:paraId="451BCF39" w14:textId="77777777" w:rsidR="000179AF" w:rsidRPr="00593659" w:rsidRDefault="00B96555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iCs/>
        </w:rPr>
      </w:pPr>
      <w:r w:rsidRPr="00593659">
        <w:rPr>
          <w:rFonts w:cstheme="minorHAnsi"/>
          <w:bCs/>
          <w:iCs/>
        </w:rPr>
        <w:t xml:space="preserve">Based on the </w:t>
      </w:r>
      <w:r w:rsidR="00830E2D" w:rsidRPr="00593659">
        <w:rPr>
          <w:rFonts w:cstheme="minorHAnsi"/>
          <w:bCs/>
          <w:iCs/>
        </w:rPr>
        <w:t xml:space="preserve">provisional </w:t>
      </w:r>
      <w:r w:rsidR="00631B0C" w:rsidRPr="00593659">
        <w:rPr>
          <w:rFonts w:cstheme="minorHAnsi"/>
          <w:bCs/>
          <w:iCs/>
        </w:rPr>
        <w:t xml:space="preserve">outturn </w:t>
      </w:r>
      <w:r w:rsidRPr="00593659">
        <w:rPr>
          <w:rFonts w:cstheme="minorHAnsi"/>
          <w:bCs/>
          <w:iCs/>
        </w:rPr>
        <w:t>position at 3</w:t>
      </w:r>
      <w:r w:rsidR="00014E88" w:rsidRPr="00593659">
        <w:rPr>
          <w:rFonts w:cstheme="minorHAnsi"/>
          <w:bCs/>
          <w:iCs/>
        </w:rPr>
        <w:t>1</w:t>
      </w:r>
      <w:r w:rsidR="00014E88" w:rsidRPr="00593659">
        <w:rPr>
          <w:rFonts w:cstheme="minorHAnsi"/>
          <w:bCs/>
          <w:iCs/>
          <w:vertAlign w:val="superscript"/>
        </w:rPr>
        <w:t>st</w:t>
      </w:r>
      <w:r w:rsidR="00014E88" w:rsidRPr="00593659">
        <w:rPr>
          <w:rFonts w:cstheme="minorHAnsi"/>
          <w:bCs/>
          <w:iCs/>
        </w:rPr>
        <w:t xml:space="preserve"> </w:t>
      </w:r>
      <w:r w:rsidR="00541E07" w:rsidRPr="00593659">
        <w:rPr>
          <w:rFonts w:cstheme="minorHAnsi"/>
          <w:bCs/>
          <w:iCs/>
        </w:rPr>
        <w:t>March</w:t>
      </w:r>
      <w:r w:rsidRPr="00593659">
        <w:rPr>
          <w:rFonts w:cstheme="minorHAnsi"/>
          <w:bCs/>
          <w:iCs/>
        </w:rPr>
        <w:t xml:space="preserve"> 202</w:t>
      </w:r>
      <w:r w:rsidR="001007B5" w:rsidRPr="00593659">
        <w:rPr>
          <w:rFonts w:cstheme="minorHAnsi"/>
          <w:bCs/>
          <w:iCs/>
        </w:rPr>
        <w:t>2</w:t>
      </w:r>
      <w:r w:rsidRPr="00593659">
        <w:rPr>
          <w:rFonts w:cstheme="minorHAnsi"/>
          <w:bCs/>
          <w:iCs/>
        </w:rPr>
        <w:t>, there is a</w:t>
      </w:r>
      <w:r w:rsidR="00830E2D" w:rsidRPr="00593659">
        <w:rPr>
          <w:rFonts w:cstheme="minorHAnsi"/>
          <w:bCs/>
          <w:iCs/>
        </w:rPr>
        <w:t>n</w:t>
      </w:r>
      <w:r w:rsidRPr="00593659">
        <w:rPr>
          <w:rFonts w:cstheme="minorHAnsi"/>
          <w:bCs/>
          <w:iCs/>
        </w:rPr>
        <w:t xml:space="preserve"> underspend against the budget for 2021/22 of £</w:t>
      </w:r>
      <w:r w:rsidR="00166EB7" w:rsidRPr="00593659">
        <w:rPr>
          <w:rFonts w:cstheme="minorHAnsi"/>
          <w:bCs/>
          <w:iCs/>
        </w:rPr>
        <w:t>0.</w:t>
      </w:r>
      <w:r w:rsidR="00A3501D" w:rsidRPr="00593659">
        <w:rPr>
          <w:rFonts w:cstheme="minorHAnsi"/>
          <w:bCs/>
          <w:iCs/>
        </w:rPr>
        <w:t>4</w:t>
      </w:r>
      <w:r w:rsidR="00830E2D" w:rsidRPr="00593659">
        <w:rPr>
          <w:rFonts w:cstheme="minorHAnsi"/>
          <w:bCs/>
          <w:iCs/>
        </w:rPr>
        <w:t>84</w:t>
      </w:r>
      <w:r w:rsidR="00166EB7" w:rsidRPr="00593659">
        <w:rPr>
          <w:rFonts w:cstheme="minorHAnsi"/>
          <w:bCs/>
          <w:iCs/>
        </w:rPr>
        <w:t>m</w:t>
      </w:r>
      <w:r w:rsidR="007D1550" w:rsidRPr="00593659">
        <w:rPr>
          <w:rFonts w:cstheme="minorHAnsi"/>
          <w:bCs/>
          <w:iCs/>
        </w:rPr>
        <w:t>;</w:t>
      </w:r>
      <w:r w:rsidR="00F17172" w:rsidRPr="00593659">
        <w:rPr>
          <w:rFonts w:cstheme="minorHAnsi"/>
          <w:bCs/>
          <w:iCs/>
        </w:rPr>
        <w:t xml:space="preserve"> </w:t>
      </w:r>
      <w:r w:rsidRPr="00593659">
        <w:rPr>
          <w:rFonts w:cstheme="minorHAnsi"/>
          <w:bCs/>
          <w:iCs/>
        </w:rPr>
        <w:t xml:space="preserve">as detailed in </w:t>
      </w:r>
      <w:r w:rsidRPr="00593659">
        <w:rPr>
          <w:rFonts w:cstheme="minorHAnsi"/>
          <w:b/>
          <w:bCs/>
          <w:iCs/>
        </w:rPr>
        <w:t>Appendix 1</w:t>
      </w:r>
      <w:r w:rsidR="007D1550" w:rsidRPr="00593659">
        <w:rPr>
          <w:rFonts w:cstheme="minorHAnsi"/>
          <w:b/>
          <w:bCs/>
          <w:iCs/>
        </w:rPr>
        <w:t xml:space="preserve">; </w:t>
      </w:r>
      <w:r w:rsidR="007D1550" w:rsidRPr="00593659">
        <w:rPr>
          <w:rFonts w:cstheme="minorHAnsi"/>
          <w:bCs/>
          <w:iCs/>
        </w:rPr>
        <w:t>this compares with the forecast at 31</w:t>
      </w:r>
      <w:r w:rsidR="007D1550" w:rsidRPr="00593659">
        <w:rPr>
          <w:rFonts w:cstheme="minorHAnsi"/>
          <w:bCs/>
          <w:iCs/>
          <w:vertAlign w:val="superscript"/>
        </w:rPr>
        <w:t>st</w:t>
      </w:r>
      <w:r w:rsidR="007D1550" w:rsidRPr="00593659">
        <w:rPr>
          <w:rFonts w:cstheme="minorHAnsi"/>
          <w:bCs/>
          <w:iCs/>
        </w:rPr>
        <w:t xml:space="preserve"> January of £0.392m</w:t>
      </w:r>
      <w:r w:rsidRPr="00593659">
        <w:rPr>
          <w:rFonts w:cstheme="minorHAnsi"/>
          <w:bCs/>
          <w:iCs/>
        </w:rPr>
        <w:t>.</w:t>
      </w:r>
      <w:r w:rsidR="00592569" w:rsidRPr="00593659">
        <w:rPr>
          <w:rFonts w:cstheme="minorHAnsi"/>
          <w:bCs/>
          <w:iCs/>
        </w:rPr>
        <w:t xml:space="preserve"> Following the allocation to reserves </w:t>
      </w:r>
      <w:r w:rsidR="00EB56AF" w:rsidRPr="00593659">
        <w:rPr>
          <w:rFonts w:cstheme="minorHAnsi"/>
          <w:bCs/>
          <w:iCs/>
        </w:rPr>
        <w:t xml:space="preserve">as </w:t>
      </w:r>
      <w:r w:rsidR="00592569" w:rsidRPr="00593659">
        <w:rPr>
          <w:rFonts w:cstheme="minorHAnsi"/>
          <w:bCs/>
          <w:iCs/>
        </w:rPr>
        <w:t>detailed above</w:t>
      </w:r>
      <w:r w:rsidR="004A4479">
        <w:rPr>
          <w:rFonts w:cstheme="minorHAnsi"/>
          <w:bCs/>
          <w:iCs/>
        </w:rPr>
        <w:t>,</w:t>
      </w:r>
      <w:r w:rsidR="00593659">
        <w:rPr>
          <w:rFonts w:cstheme="minorHAnsi"/>
          <w:bCs/>
          <w:iCs/>
        </w:rPr>
        <w:t xml:space="preserve"> and the agreed movement of £0.392m at quarter three to</w:t>
      </w:r>
      <w:r w:rsidR="004A4479">
        <w:rPr>
          <w:rFonts w:cstheme="minorHAnsi"/>
          <w:bCs/>
          <w:iCs/>
        </w:rPr>
        <w:t xml:space="preserve"> the</w:t>
      </w:r>
      <w:r w:rsidR="00593659">
        <w:rPr>
          <w:rFonts w:cstheme="minorHAnsi"/>
          <w:bCs/>
          <w:iCs/>
        </w:rPr>
        <w:t xml:space="preserve"> Covid Recovery Reserve</w:t>
      </w:r>
      <w:r w:rsidR="004A4479">
        <w:rPr>
          <w:rFonts w:cstheme="minorHAnsi"/>
          <w:bCs/>
          <w:iCs/>
        </w:rPr>
        <w:t>,</w:t>
      </w:r>
      <w:r w:rsidRPr="00593659">
        <w:rPr>
          <w:rFonts w:cstheme="minorHAnsi"/>
          <w:bCs/>
          <w:iCs/>
        </w:rPr>
        <w:t xml:space="preserve"> </w:t>
      </w:r>
      <w:r w:rsidR="00593659">
        <w:rPr>
          <w:rFonts w:cstheme="minorHAnsi"/>
          <w:bCs/>
          <w:iCs/>
        </w:rPr>
        <w:t>there will be no change to the general fund reserve.</w:t>
      </w:r>
    </w:p>
    <w:p w14:paraId="451BCF3A" w14:textId="77777777" w:rsidR="001668A0" w:rsidRPr="00952E49" w:rsidRDefault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CF3B" w14:textId="77777777" w:rsidR="001668A0" w:rsidRPr="00881190" w:rsidRDefault="00B96555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952E49">
        <w:rPr>
          <w:rFonts w:cstheme="minorHAnsi"/>
          <w:bCs/>
          <w:iCs/>
        </w:rPr>
        <w:t xml:space="preserve">The </w:t>
      </w:r>
      <w:r w:rsidR="00294DAD" w:rsidRPr="00952E49">
        <w:rPr>
          <w:rFonts w:cstheme="minorHAnsi"/>
          <w:bCs/>
          <w:iCs/>
        </w:rPr>
        <w:t>c</w:t>
      </w:r>
      <w:r w:rsidRPr="00952E49">
        <w:rPr>
          <w:rFonts w:cstheme="minorHAnsi"/>
          <w:bCs/>
          <w:iCs/>
        </w:rPr>
        <w:t xml:space="preserve">ouncil’s Medium-Term Financial Strategy </w:t>
      </w:r>
      <w:r w:rsidR="00EB56AF">
        <w:rPr>
          <w:rFonts w:cstheme="minorHAnsi"/>
          <w:bCs/>
          <w:iCs/>
        </w:rPr>
        <w:t xml:space="preserve">recommends that General Reserves are </w:t>
      </w:r>
      <w:r w:rsidRPr="00952E49">
        <w:rPr>
          <w:rFonts w:cstheme="minorHAnsi"/>
          <w:bCs/>
          <w:iCs/>
        </w:rPr>
        <w:t xml:space="preserve">maintained at a minimum of £4.0m </w:t>
      </w:r>
      <w:r w:rsidR="00EB56AF">
        <w:rPr>
          <w:rFonts w:cstheme="minorHAnsi"/>
          <w:bCs/>
          <w:iCs/>
        </w:rPr>
        <w:t xml:space="preserve">to mitigate against any unforeseen </w:t>
      </w:r>
      <w:r w:rsidRPr="00952E49">
        <w:rPr>
          <w:rFonts w:cstheme="minorHAnsi"/>
          <w:bCs/>
          <w:iCs/>
        </w:rPr>
        <w:t xml:space="preserve">financial risks </w:t>
      </w:r>
      <w:r w:rsidR="00EB56AF">
        <w:rPr>
          <w:rFonts w:cstheme="minorHAnsi"/>
          <w:bCs/>
          <w:iCs/>
        </w:rPr>
        <w:t xml:space="preserve">that may </w:t>
      </w:r>
      <w:r w:rsidR="00EB56AF" w:rsidRPr="00881190">
        <w:rPr>
          <w:rFonts w:cstheme="minorHAnsi"/>
          <w:bCs/>
          <w:iCs/>
        </w:rPr>
        <w:t>present in the future.</w:t>
      </w:r>
      <w:r w:rsidRPr="00881190">
        <w:rPr>
          <w:rFonts w:cstheme="minorHAnsi"/>
          <w:bCs/>
          <w:iCs/>
        </w:rPr>
        <w:t xml:space="preserve">  </w:t>
      </w:r>
      <w:r w:rsidR="00294DAD" w:rsidRPr="00881190">
        <w:rPr>
          <w:rFonts w:cstheme="minorHAnsi"/>
          <w:bCs/>
          <w:iCs/>
        </w:rPr>
        <w:t xml:space="preserve">Based on point </w:t>
      </w:r>
      <w:r w:rsidR="000C4D64" w:rsidRPr="00881190">
        <w:rPr>
          <w:rFonts w:cstheme="minorHAnsi"/>
          <w:bCs/>
          <w:iCs/>
        </w:rPr>
        <w:t>4</w:t>
      </w:r>
      <w:r w:rsidR="00294DAD" w:rsidRPr="00881190">
        <w:rPr>
          <w:rFonts w:cstheme="minorHAnsi"/>
          <w:bCs/>
          <w:iCs/>
        </w:rPr>
        <w:t xml:space="preserve"> above, t</w:t>
      </w:r>
      <w:r w:rsidRPr="00881190">
        <w:rPr>
          <w:rFonts w:cstheme="minorHAnsi"/>
          <w:bCs/>
          <w:iCs/>
        </w:rPr>
        <w:t>he level of general fund balances at 31</w:t>
      </w:r>
      <w:r w:rsidRPr="00881190">
        <w:rPr>
          <w:rFonts w:cstheme="minorHAnsi"/>
          <w:bCs/>
          <w:iCs/>
          <w:vertAlign w:val="superscript"/>
        </w:rPr>
        <w:t>st</w:t>
      </w:r>
      <w:r w:rsidRPr="00881190">
        <w:rPr>
          <w:rFonts w:cstheme="minorHAnsi"/>
          <w:bCs/>
          <w:iCs/>
        </w:rPr>
        <w:t xml:space="preserve"> March 2022 is £4.</w:t>
      </w:r>
      <w:r w:rsidR="00881190" w:rsidRPr="00881190">
        <w:rPr>
          <w:rFonts w:cstheme="minorHAnsi"/>
          <w:bCs/>
          <w:iCs/>
        </w:rPr>
        <w:t>141</w:t>
      </w:r>
      <w:r w:rsidRPr="00881190">
        <w:rPr>
          <w:rFonts w:cstheme="minorHAnsi"/>
          <w:bCs/>
          <w:iCs/>
        </w:rPr>
        <w:t>m.</w:t>
      </w:r>
    </w:p>
    <w:p w14:paraId="451BCF3C" w14:textId="77777777" w:rsidR="0023310C" w:rsidRPr="00541E07" w:rsidRDefault="0023310C" w:rsidP="001668A0">
      <w:pPr>
        <w:spacing w:after="0" w:line="240" w:lineRule="auto"/>
        <w:jc w:val="both"/>
        <w:rPr>
          <w:rFonts w:cstheme="minorHAnsi"/>
          <w:bCs/>
          <w:highlight w:val="yellow"/>
        </w:rPr>
      </w:pPr>
    </w:p>
    <w:p w14:paraId="451BCF3D" w14:textId="77777777" w:rsidR="00CA0643" w:rsidRPr="005C4BA2" w:rsidRDefault="00CA0643" w:rsidP="001668A0">
      <w:pPr>
        <w:spacing w:after="0" w:line="240" w:lineRule="auto"/>
        <w:jc w:val="both"/>
        <w:rPr>
          <w:rFonts w:cstheme="minorHAnsi"/>
          <w:bCs/>
        </w:rPr>
      </w:pPr>
    </w:p>
    <w:p w14:paraId="451BCF3E" w14:textId="77777777" w:rsidR="001668A0" w:rsidRPr="005C4BA2" w:rsidRDefault="00B96555" w:rsidP="001668A0">
      <w:pPr>
        <w:pStyle w:val="Heading2"/>
        <w:rPr>
          <w:sz w:val="8"/>
        </w:rPr>
      </w:pPr>
      <w:r w:rsidRPr="005C4BA2">
        <w:t>Reasons for Recommendations</w:t>
      </w:r>
    </w:p>
    <w:p w14:paraId="451BCF3F" w14:textId="77777777" w:rsidR="001668A0" w:rsidRPr="005C4BA2" w:rsidRDefault="00B96555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5C4BA2">
        <w:rPr>
          <w:rFonts w:cstheme="minorHAnsi"/>
          <w:bCs/>
          <w:iCs/>
        </w:rPr>
        <w:t>To ensure the Council’s budgetary targets are achiev</w:t>
      </w:r>
      <w:r w:rsidRPr="005C4BA2">
        <w:rPr>
          <w:rFonts w:cstheme="minorHAnsi"/>
          <w:bCs/>
          <w:iCs/>
        </w:rPr>
        <w:t>ed.</w:t>
      </w:r>
    </w:p>
    <w:p w14:paraId="451BCF40" w14:textId="77777777" w:rsidR="005D3635" w:rsidRPr="005C4BA2" w:rsidRDefault="005D3635" w:rsidP="005D3635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CF41" w14:textId="77777777" w:rsidR="001668A0" w:rsidRPr="005C4BA2" w:rsidRDefault="001668A0" w:rsidP="001668A0">
      <w:pPr>
        <w:spacing w:after="0" w:line="240" w:lineRule="auto"/>
        <w:jc w:val="both"/>
        <w:rPr>
          <w:rFonts w:cstheme="minorHAnsi"/>
          <w:bCs/>
        </w:rPr>
      </w:pPr>
    </w:p>
    <w:p w14:paraId="451BCF42" w14:textId="77777777" w:rsidR="001668A0" w:rsidRPr="005C4BA2" w:rsidRDefault="00B96555" w:rsidP="001668A0">
      <w:pPr>
        <w:pStyle w:val="Heading2"/>
        <w:rPr>
          <w:sz w:val="8"/>
        </w:rPr>
      </w:pPr>
      <w:r w:rsidRPr="005C4BA2">
        <w:t>Alternative Options Considered and Rejected</w:t>
      </w:r>
    </w:p>
    <w:p w14:paraId="451BCF43" w14:textId="77777777" w:rsidR="001668A0" w:rsidRPr="005C4BA2" w:rsidRDefault="00B96555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5C4BA2">
        <w:rPr>
          <w:rFonts w:cstheme="minorHAnsi"/>
          <w:bCs/>
          <w:iCs/>
        </w:rPr>
        <w:t>None</w:t>
      </w:r>
    </w:p>
    <w:p w14:paraId="451BCF44" w14:textId="77777777" w:rsidR="001668A0" w:rsidRPr="005C4BA2" w:rsidRDefault="001668A0" w:rsidP="001668A0">
      <w:pPr>
        <w:spacing w:after="0" w:line="240" w:lineRule="auto"/>
        <w:jc w:val="both"/>
        <w:rPr>
          <w:rFonts w:cstheme="minorHAnsi"/>
          <w:bCs/>
          <w:iCs/>
        </w:rPr>
      </w:pPr>
    </w:p>
    <w:p w14:paraId="451BCF45" w14:textId="77777777" w:rsidR="000179AF" w:rsidRPr="005C4BA2" w:rsidRDefault="00B96555" w:rsidP="001668A0">
      <w:pPr>
        <w:pStyle w:val="Heading2"/>
      </w:pPr>
      <w:r w:rsidRPr="005C4BA2">
        <w:t>Corporate priorities</w:t>
      </w:r>
    </w:p>
    <w:p w14:paraId="451BCF46" w14:textId="77777777" w:rsidR="000179AF" w:rsidRPr="005C4BA2" w:rsidRDefault="00B96555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5C4BA2">
        <w:rPr>
          <w:rFonts w:cstheme="minorHAnsi"/>
          <w:bCs/>
        </w:rPr>
        <w:t xml:space="preserve"> The report relates to the following corporate priorities:</w:t>
      </w:r>
    </w:p>
    <w:p w14:paraId="451BCF47" w14:textId="77777777" w:rsidR="002A4A7D" w:rsidRPr="005C4BA2" w:rsidRDefault="002A4A7D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FF1BE2" w14:paraId="451BCF4A" w14:textId="77777777" w:rsidTr="00286579">
        <w:tc>
          <w:tcPr>
            <w:tcW w:w="4848" w:type="dxa"/>
            <w:shd w:val="clear" w:color="auto" w:fill="auto"/>
            <w:vAlign w:val="center"/>
          </w:tcPr>
          <w:p w14:paraId="451BCF48" w14:textId="77777777" w:rsidR="001073DC" w:rsidRPr="005C4BA2" w:rsidRDefault="00B96555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C4BA2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451BCF49" w14:textId="77777777" w:rsidR="001073DC" w:rsidRPr="005C4BA2" w:rsidRDefault="00B96555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C4BA2">
              <w:rPr>
                <w:rFonts w:cstheme="minorHAnsi"/>
                <w:b/>
                <w:bCs/>
              </w:rPr>
              <w:t>Thriving communities</w:t>
            </w:r>
          </w:p>
        </w:tc>
      </w:tr>
      <w:tr w:rsidR="00FF1BE2" w14:paraId="451BCF4D" w14:textId="77777777" w:rsidTr="00286579">
        <w:tc>
          <w:tcPr>
            <w:tcW w:w="4848" w:type="dxa"/>
            <w:shd w:val="clear" w:color="auto" w:fill="auto"/>
            <w:vAlign w:val="center"/>
          </w:tcPr>
          <w:p w14:paraId="451BCF4B" w14:textId="77777777" w:rsidR="001073DC" w:rsidRPr="005C4BA2" w:rsidRDefault="00B96555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C4BA2">
              <w:rPr>
                <w:rFonts w:cstheme="minorHAnsi"/>
                <w:b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451BCF4C" w14:textId="77777777" w:rsidR="001073DC" w:rsidRPr="005C4BA2" w:rsidRDefault="00B96555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C4BA2">
              <w:rPr>
                <w:rFonts w:cstheme="minorHAnsi"/>
                <w:b/>
                <w:bCs/>
              </w:rPr>
              <w:t xml:space="preserve">Good homes, green </w:t>
            </w:r>
            <w:r w:rsidRPr="005C4BA2">
              <w:rPr>
                <w:rFonts w:cstheme="minorHAnsi"/>
                <w:b/>
                <w:bCs/>
              </w:rPr>
              <w:t>spaces, healthy places</w:t>
            </w:r>
          </w:p>
        </w:tc>
      </w:tr>
    </w:tbl>
    <w:p w14:paraId="451BCF4E" w14:textId="77777777" w:rsidR="000179AF" w:rsidRPr="00541E07" w:rsidRDefault="000179AF" w:rsidP="001668A0">
      <w:pPr>
        <w:rPr>
          <w:highlight w:val="yellow"/>
        </w:rPr>
      </w:pPr>
    </w:p>
    <w:p w14:paraId="451BCF4F" w14:textId="77777777" w:rsidR="000179AF" w:rsidRPr="00771F55" w:rsidRDefault="00B96555" w:rsidP="001668A0">
      <w:pPr>
        <w:pStyle w:val="Heading2"/>
      </w:pPr>
      <w:r w:rsidRPr="00771F55">
        <w:t>Background to the report</w:t>
      </w:r>
    </w:p>
    <w:p w14:paraId="451BCF50" w14:textId="77777777" w:rsidR="004B7533" w:rsidRPr="00771F55" w:rsidRDefault="00B96555" w:rsidP="004B753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771F55">
        <w:rPr>
          <w:rFonts w:cstheme="minorHAnsi"/>
          <w:bCs/>
          <w:iCs/>
        </w:rPr>
        <w:t xml:space="preserve">The </w:t>
      </w:r>
      <w:r w:rsidR="00294DAD" w:rsidRPr="00771F55">
        <w:rPr>
          <w:rFonts w:cstheme="minorHAnsi"/>
          <w:bCs/>
          <w:iCs/>
        </w:rPr>
        <w:t>c</w:t>
      </w:r>
      <w:r w:rsidRPr="00771F55">
        <w:rPr>
          <w:rFonts w:cstheme="minorHAnsi"/>
          <w:bCs/>
          <w:iCs/>
        </w:rPr>
        <w:t xml:space="preserve">urrent net revenue budget for 2021/22 is £14.480m, which includes a savings target </w:t>
      </w:r>
      <w:r w:rsidR="00B20F6A" w:rsidRPr="00771F55">
        <w:rPr>
          <w:rFonts w:cstheme="minorHAnsi"/>
          <w:bCs/>
          <w:iCs/>
        </w:rPr>
        <w:t>of £190k</w:t>
      </w:r>
      <w:r w:rsidR="007D1550" w:rsidRPr="00771F55">
        <w:rPr>
          <w:rFonts w:cstheme="minorHAnsi"/>
          <w:bCs/>
          <w:iCs/>
        </w:rPr>
        <w:t>; this c</w:t>
      </w:r>
      <w:r w:rsidRPr="00771F55">
        <w:rPr>
          <w:rFonts w:cstheme="minorHAnsi"/>
          <w:bCs/>
          <w:iCs/>
        </w:rPr>
        <w:t>ompris</w:t>
      </w:r>
      <w:r w:rsidR="007D1550" w:rsidRPr="00771F55">
        <w:rPr>
          <w:rFonts w:cstheme="minorHAnsi"/>
          <w:bCs/>
          <w:iCs/>
        </w:rPr>
        <w:t>es</w:t>
      </w:r>
      <w:r w:rsidRPr="00771F55">
        <w:rPr>
          <w:rFonts w:cstheme="minorHAnsi"/>
          <w:bCs/>
          <w:iCs/>
        </w:rPr>
        <w:t xml:space="preserve"> £150k in respect of staffing turnover and £40k from the expansion of Shared Services.</w:t>
      </w:r>
    </w:p>
    <w:p w14:paraId="451BCF51" w14:textId="77777777" w:rsidR="001668A0" w:rsidRPr="00771F55" w:rsidRDefault="001668A0" w:rsidP="002A3921">
      <w:pPr>
        <w:spacing w:after="0" w:line="240" w:lineRule="auto"/>
        <w:jc w:val="both"/>
        <w:rPr>
          <w:rFonts w:cstheme="minorHAnsi"/>
          <w:bCs/>
          <w:iCs/>
        </w:rPr>
      </w:pPr>
    </w:p>
    <w:p w14:paraId="451BCF52" w14:textId="77777777" w:rsidR="001668A0" w:rsidRPr="00771F55" w:rsidRDefault="00B96555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771F55">
        <w:rPr>
          <w:rFonts w:cstheme="minorHAnsi"/>
          <w:b/>
          <w:bCs/>
          <w:iCs/>
        </w:rPr>
        <w:t>Appendix 3</w:t>
      </w:r>
      <w:r w:rsidRPr="00771F55">
        <w:rPr>
          <w:rFonts w:cstheme="minorHAnsi"/>
          <w:bCs/>
          <w:iCs/>
        </w:rPr>
        <w:t xml:space="preserve"> provides further information about the specific earmarked reserves and provisions</w:t>
      </w:r>
      <w:r w:rsidR="005C4BA2" w:rsidRPr="00771F55">
        <w:rPr>
          <w:rFonts w:cstheme="minorHAnsi"/>
          <w:bCs/>
          <w:iCs/>
        </w:rPr>
        <w:t xml:space="preserve"> </w:t>
      </w:r>
      <w:r w:rsidR="00B20F6A" w:rsidRPr="00771F55">
        <w:rPr>
          <w:rFonts w:cstheme="minorHAnsi"/>
          <w:bCs/>
          <w:iCs/>
        </w:rPr>
        <w:t xml:space="preserve">that </w:t>
      </w:r>
      <w:r w:rsidR="005C4BA2" w:rsidRPr="00771F55">
        <w:rPr>
          <w:rFonts w:cstheme="minorHAnsi"/>
          <w:bCs/>
          <w:iCs/>
        </w:rPr>
        <w:t>were</w:t>
      </w:r>
      <w:r w:rsidRPr="00771F55">
        <w:rPr>
          <w:rFonts w:cstheme="minorHAnsi"/>
          <w:bCs/>
          <w:iCs/>
        </w:rPr>
        <w:t xml:space="preserve"> available for use </w:t>
      </w:r>
      <w:r w:rsidR="00B20F6A" w:rsidRPr="00771F55">
        <w:rPr>
          <w:rFonts w:cstheme="minorHAnsi"/>
          <w:bCs/>
          <w:iCs/>
        </w:rPr>
        <w:t>during</w:t>
      </w:r>
      <w:r w:rsidRPr="00771F55">
        <w:rPr>
          <w:rFonts w:cstheme="minorHAnsi"/>
          <w:bCs/>
          <w:iCs/>
        </w:rPr>
        <w:t xml:space="preserve"> 2021/22. </w:t>
      </w:r>
    </w:p>
    <w:p w14:paraId="451BCF53" w14:textId="77777777" w:rsidR="001668A0" w:rsidRPr="00541E07" w:rsidRDefault="001668A0" w:rsidP="001668A0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54" w14:textId="77777777" w:rsidR="000179AF" w:rsidRPr="005C4BA2" w:rsidRDefault="00B96555" w:rsidP="001668A0">
      <w:pPr>
        <w:pStyle w:val="Heading2"/>
      </w:pPr>
      <w:r w:rsidRPr="005C4BA2">
        <w:t xml:space="preserve">Section A: </w:t>
      </w:r>
      <w:r w:rsidR="005C4BA2" w:rsidRPr="005C4BA2">
        <w:t>Outturn</w:t>
      </w:r>
      <w:r w:rsidRPr="005C4BA2">
        <w:t xml:space="preserve"> Position – Revenue</w:t>
      </w:r>
    </w:p>
    <w:p w14:paraId="451BCF55" w14:textId="77777777" w:rsidR="007815C3" w:rsidRPr="00830E2D" w:rsidRDefault="00B96555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30E2D">
        <w:rPr>
          <w:rFonts w:cstheme="minorHAnsi"/>
          <w:bCs/>
          <w:iCs/>
        </w:rPr>
        <w:t>The expenditure</w:t>
      </w:r>
      <w:r w:rsidR="00B20F6A">
        <w:rPr>
          <w:rFonts w:cstheme="minorHAnsi"/>
          <w:bCs/>
          <w:iCs/>
        </w:rPr>
        <w:t>,</w:t>
      </w:r>
      <w:r w:rsidRPr="00830E2D">
        <w:rPr>
          <w:rFonts w:cstheme="minorHAnsi"/>
          <w:bCs/>
          <w:iCs/>
        </w:rPr>
        <w:t xml:space="preserve"> based on the position as at 3</w:t>
      </w:r>
      <w:r w:rsidR="00014E88" w:rsidRPr="00830E2D">
        <w:rPr>
          <w:rFonts w:cstheme="minorHAnsi"/>
          <w:bCs/>
          <w:iCs/>
        </w:rPr>
        <w:t>1</w:t>
      </w:r>
      <w:r w:rsidR="00014E88" w:rsidRPr="00830E2D">
        <w:rPr>
          <w:rFonts w:cstheme="minorHAnsi"/>
          <w:bCs/>
          <w:iCs/>
          <w:vertAlign w:val="superscript"/>
        </w:rPr>
        <w:t>st</w:t>
      </w:r>
      <w:r w:rsidR="00014E88" w:rsidRPr="00830E2D">
        <w:rPr>
          <w:rFonts w:cstheme="minorHAnsi"/>
          <w:bCs/>
          <w:iCs/>
        </w:rPr>
        <w:t xml:space="preserve"> </w:t>
      </w:r>
      <w:r w:rsidR="00541E07" w:rsidRPr="00830E2D">
        <w:rPr>
          <w:rFonts w:cstheme="minorHAnsi"/>
          <w:bCs/>
          <w:iCs/>
        </w:rPr>
        <w:t>March</w:t>
      </w:r>
      <w:r w:rsidRPr="00830E2D">
        <w:rPr>
          <w:rFonts w:cstheme="minorHAnsi"/>
          <w:bCs/>
          <w:iCs/>
        </w:rPr>
        <w:t xml:space="preserve"> 202</w:t>
      </w:r>
      <w:r w:rsidR="009F7FD2" w:rsidRPr="00830E2D">
        <w:rPr>
          <w:rFonts w:cstheme="minorHAnsi"/>
          <w:bCs/>
          <w:iCs/>
        </w:rPr>
        <w:t>2</w:t>
      </w:r>
      <w:r w:rsidR="00B20F6A">
        <w:rPr>
          <w:rFonts w:cstheme="minorHAnsi"/>
          <w:bCs/>
          <w:iCs/>
        </w:rPr>
        <w:t>,</w:t>
      </w:r>
      <w:r w:rsidRPr="00830E2D">
        <w:rPr>
          <w:rFonts w:cstheme="minorHAnsi"/>
          <w:bCs/>
          <w:iCs/>
        </w:rPr>
        <w:t xml:space="preserve"> </w:t>
      </w:r>
      <w:r w:rsidRPr="00B13D13">
        <w:rPr>
          <w:rFonts w:cstheme="minorHAnsi"/>
          <w:bCs/>
          <w:iCs/>
        </w:rPr>
        <w:t>is £1</w:t>
      </w:r>
      <w:r w:rsidR="00830E2D" w:rsidRPr="00B13D13">
        <w:rPr>
          <w:rFonts w:cstheme="minorHAnsi"/>
          <w:bCs/>
          <w:iCs/>
        </w:rPr>
        <w:t>3</w:t>
      </w:r>
      <w:r w:rsidRPr="00B13D13">
        <w:rPr>
          <w:rFonts w:cstheme="minorHAnsi"/>
          <w:bCs/>
          <w:iCs/>
        </w:rPr>
        <w:t>.</w:t>
      </w:r>
      <w:r w:rsidR="00830E2D" w:rsidRPr="00B13D13">
        <w:rPr>
          <w:rFonts w:cstheme="minorHAnsi"/>
          <w:bCs/>
          <w:iCs/>
        </w:rPr>
        <w:t>872</w:t>
      </w:r>
      <w:r w:rsidRPr="00B13D13">
        <w:rPr>
          <w:rFonts w:cstheme="minorHAnsi"/>
          <w:bCs/>
          <w:iCs/>
        </w:rPr>
        <w:t>m</w:t>
      </w:r>
      <w:r w:rsidRPr="00830E2D">
        <w:rPr>
          <w:rFonts w:cstheme="minorHAnsi"/>
          <w:bCs/>
          <w:iCs/>
        </w:rPr>
        <w:t xml:space="preserve"> against the </w:t>
      </w:r>
      <w:r w:rsidR="00294DAD" w:rsidRPr="00830E2D">
        <w:rPr>
          <w:rFonts w:cstheme="minorHAnsi"/>
          <w:bCs/>
          <w:iCs/>
        </w:rPr>
        <w:t>c</w:t>
      </w:r>
      <w:r w:rsidRPr="00830E2D">
        <w:rPr>
          <w:rFonts w:cstheme="minorHAnsi"/>
          <w:bCs/>
          <w:iCs/>
        </w:rPr>
        <w:t xml:space="preserve">ouncil’s budgets of £14.480m. Details of the revenue outturn position are shown in </w:t>
      </w:r>
      <w:r w:rsidRPr="00830E2D">
        <w:rPr>
          <w:rFonts w:cstheme="minorHAnsi"/>
          <w:b/>
          <w:bCs/>
          <w:iCs/>
        </w:rPr>
        <w:t>Appendix 1</w:t>
      </w:r>
      <w:r w:rsidRPr="00830E2D">
        <w:rPr>
          <w:rFonts w:cstheme="minorHAnsi"/>
          <w:bCs/>
          <w:iCs/>
        </w:rPr>
        <w:t xml:space="preserve"> and the movement and balances on reserves are outlined in </w:t>
      </w:r>
      <w:r w:rsidRPr="00830E2D">
        <w:rPr>
          <w:rFonts w:cstheme="minorHAnsi"/>
          <w:b/>
          <w:bCs/>
          <w:iCs/>
        </w:rPr>
        <w:t>Appendix 3</w:t>
      </w:r>
      <w:r w:rsidRPr="00830E2D">
        <w:rPr>
          <w:rFonts w:cstheme="minorHAnsi"/>
          <w:bCs/>
          <w:iCs/>
        </w:rPr>
        <w:t>. The main variances, by directorate, are detailed below.</w:t>
      </w:r>
    </w:p>
    <w:p w14:paraId="451BCF56" w14:textId="77777777" w:rsidR="00625FD5" w:rsidRPr="0001771F" w:rsidRDefault="00625FD5" w:rsidP="00625FD5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CF57" w14:textId="77777777" w:rsidR="00625FD5" w:rsidRPr="0001771F" w:rsidRDefault="00B96555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 general key issue to note is that</w:t>
      </w:r>
      <w:r>
        <w:rPr>
          <w:rFonts w:cstheme="minorHAnsi"/>
          <w:bCs/>
          <w:iCs/>
        </w:rPr>
        <w:t xml:space="preserve"> t</w:t>
      </w:r>
      <w:r w:rsidR="0052511C" w:rsidRPr="0001771F">
        <w:rPr>
          <w:rFonts w:cstheme="minorHAnsi"/>
          <w:bCs/>
          <w:iCs/>
        </w:rPr>
        <w:t xml:space="preserve">he staffing budgets </w:t>
      </w:r>
      <w:r w:rsidR="00B20F6A">
        <w:rPr>
          <w:rFonts w:cstheme="minorHAnsi"/>
          <w:bCs/>
          <w:iCs/>
        </w:rPr>
        <w:t xml:space="preserve">for 2021/22 </w:t>
      </w:r>
      <w:r w:rsidR="0052511C" w:rsidRPr="0001771F">
        <w:rPr>
          <w:rFonts w:cstheme="minorHAnsi"/>
          <w:bCs/>
          <w:iCs/>
        </w:rPr>
        <w:t>were set with</w:t>
      </w:r>
      <w:r>
        <w:rPr>
          <w:rFonts w:cstheme="minorHAnsi"/>
          <w:bCs/>
          <w:iCs/>
        </w:rPr>
        <w:t xml:space="preserve">out any </w:t>
      </w:r>
      <w:r w:rsidR="00B20F6A">
        <w:rPr>
          <w:rFonts w:cstheme="minorHAnsi"/>
          <w:bCs/>
          <w:iCs/>
        </w:rPr>
        <w:t xml:space="preserve">inflationary uplift, </w:t>
      </w:r>
      <w:r w:rsidR="00B20F6A" w:rsidRPr="0001771F">
        <w:rPr>
          <w:rFonts w:cstheme="minorHAnsi"/>
          <w:bCs/>
          <w:iCs/>
        </w:rPr>
        <w:t>in line with the Government announcement at the time</w:t>
      </w:r>
      <w:r>
        <w:rPr>
          <w:rFonts w:cstheme="minorHAnsi"/>
          <w:bCs/>
          <w:iCs/>
        </w:rPr>
        <w:t>,</w:t>
      </w:r>
      <w:r w:rsidR="00B20F6A">
        <w:rPr>
          <w:rFonts w:cstheme="minorHAnsi"/>
          <w:bCs/>
          <w:iCs/>
        </w:rPr>
        <w:t xml:space="preserve"> with the exception of a </w:t>
      </w:r>
      <w:r w:rsidR="0052511C" w:rsidRPr="0001771F">
        <w:rPr>
          <w:rFonts w:cstheme="minorHAnsi"/>
          <w:bCs/>
          <w:iCs/>
        </w:rPr>
        <w:t xml:space="preserve">£250 increase for salaries below £25k.  </w:t>
      </w:r>
      <w:bookmarkStart w:id="1" w:name="_Hlk103929669"/>
      <w:r w:rsidR="0001771F" w:rsidRPr="0001771F">
        <w:rPr>
          <w:rFonts w:cstheme="minorHAnsi"/>
          <w:bCs/>
          <w:iCs/>
        </w:rPr>
        <w:t>A</w:t>
      </w:r>
      <w:r w:rsidR="0052511C" w:rsidRPr="0001771F">
        <w:rPr>
          <w:rFonts w:cstheme="minorHAnsi"/>
          <w:bCs/>
          <w:iCs/>
        </w:rPr>
        <w:t xml:space="preserve"> final offer </w:t>
      </w:r>
      <w:r w:rsidR="00B20F6A">
        <w:rPr>
          <w:rFonts w:cstheme="minorHAnsi"/>
          <w:bCs/>
          <w:iCs/>
        </w:rPr>
        <w:t xml:space="preserve">was accepted by the Unions </w:t>
      </w:r>
      <w:r w:rsidR="0052511C" w:rsidRPr="0001771F">
        <w:rPr>
          <w:rFonts w:cstheme="minorHAnsi"/>
          <w:bCs/>
          <w:iCs/>
        </w:rPr>
        <w:t xml:space="preserve">of 1.75% </w:t>
      </w:r>
      <w:r w:rsidR="00B20F6A">
        <w:rPr>
          <w:rFonts w:cstheme="minorHAnsi"/>
          <w:bCs/>
          <w:iCs/>
        </w:rPr>
        <w:t>during the year</w:t>
      </w:r>
      <w:r>
        <w:rPr>
          <w:rFonts w:cstheme="minorHAnsi"/>
          <w:bCs/>
          <w:iCs/>
        </w:rPr>
        <w:t>,</w:t>
      </w:r>
      <w:r w:rsidR="00B20F6A">
        <w:rPr>
          <w:rFonts w:cstheme="minorHAnsi"/>
          <w:bCs/>
          <w:iCs/>
        </w:rPr>
        <w:t xml:space="preserve"> which therefore created a £142k budget pressure across all directorates in the council</w:t>
      </w:r>
      <w:r>
        <w:rPr>
          <w:rFonts w:cstheme="minorHAnsi"/>
          <w:bCs/>
          <w:iCs/>
        </w:rPr>
        <w:t>; this</w:t>
      </w:r>
      <w:r w:rsidR="007D1550">
        <w:rPr>
          <w:rFonts w:cstheme="minorHAnsi"/>
          <w:bCs/>
          <w:iCs/>
        </w:rPr>
        <w:t xml:space="preserve"> has been contained within the figures presented</w:t>
      </w:r>
      <w:r w:rsidR="00B20F6A">
        <w:rPr>
          <w:rFonts w:cstheme="minorHAnsi"/>
          <w:bCs/>
          <w:iCs/>
        </w:rPr>
        <w:t>.</w:t>
      </w:r>
      <w:bookmarkEnd w:id="1"/>
    </w:p>
    <w:p w14:paraId="451BCF58" w14:textId="77777777" w:rsidR="004230F3" w:rsidRPr="00541E07" w:rsidRDefault="004230F3" w:rsidP="004230F3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59" w14:textId="77777777" w:rsidR="00F17172" w:rsidRDefault="00F17172" w:rsidP="00925937">
      <w:pPr>
        <w:rPr>
          <w:rFonts w:cstheme="minorHAnsi"/>
          <w:b/>
          <w:bCs/>
          <w:iCs/>
          <w:u w:val="single"/>
        </w:rPr>
      </w:pPr>
    </w:p>
    <w:p w14:paraId="451BCF5A" w14:textId="77777777" w:rsidR="00F17172" w:rsidRDefault="00F17172" w:rsidP="00925937">
      <w:pPr>
        <w:rPr>
          <w:rFonts w:cstheme="minorHAnsi"/>
          <w:b/>
          <w:bCs/>
          <w:iCs/>
          <w:u w:val="single"/>
        </w:rPr>
      </w:pPr>
    </w:p>
    <w:p w14:paraId="451BCF5B" w14:textId="77777777" w:rsidR="00F17172" w:rsidRDefault="00F17172" w:rsidP="00925937">
      <w:pPr>
        <w:rPr>
          <w:rFonts w:cstheme="minorHAnsi"/>
          <w:b/>
          <w:bCs/>
          <w:iCs/>
          <w:u w:val="single"/>
        </w:rPr>
      </w:pPr>
    </w:p>
    <w:p w14:paraId="451BCF5C" w14:textId="77777777" w:rsidR="00F17172" w:rsidRDefault="00F17172" w:rsidP="00925937">
      <w:pPr>
        <w:rPr>
          <w:rFonts w:cstheme="minorHAnsi"/>
          <w:b/>
          <w:bCs/>
          <w:iCs/>
          <w:u w:val="single"/>
        </w:rPr>
      </w:pPr>
    </w:p>
    <w:p w14:paraId="451BCF5D" w14:textId="77777777" w:rsidR="004A4479" w:rsidRDefault="004A4479" w:rsidP="00925937">
      <w:pPr>
        <w:rPr>
          <w:rFonts w:cstheme="minorHAnsi"/>
          <w:b/>
          <w:bCs/>
          <w:iCs/>
          <w:u w:val="single"/>
        </w:rPr>
      </w:pPr>
    </w:p>
    <w:p w14:paraId="451BCF5E" w14:textId="77777777" w:rsidR="00F17172" w:rsidRDefault="00F17172" w:rsidP="00925937">
      <w:pPr>
        <w:rPr>
          <w:rFonts w:cstheme="minorHAnsi"/>
          <w:b/>
          <w:bCs/>
          <w:iCs/>
          <w:u w:val="single"/>
        </w:rPr>
      </w:pPr>
    </w:p>
    <w:p w14:paraId="451BCF5F" w14:textId="77777777" w:rsidR="007815C3" w:rsidRPr="003D0E3D" w:rsidRDefault="00B96555" w:rsidP="00925937">
      <w:pPr>
        <w:rPr>
          <w:rFonts w:cstheme="minorHAnsi"/>
          <w:b/>
          <w:bCs/>
          <w:iCs/>
          <w:u w:val="single"/>
        </w:rPr>
      </w:pPr>
      <w:r w:rsidRPr="003D0E3D">
        <w:rPr>
          <w:rFonts w:cstheme="minorHAnsi"/>
          <w:b/>
          <w:bCs/>
          <w:iCs/>
          <w:u w:val="single"/>
        </w:rPr>
        <w:lastRenderedPageBreak/>
        <w:t>Variations from Budget</w:t>
      </w:r>
    </w:p>
    <w:tbl>
      <w:tblPr>
        <w:tblW w:w="8304" w:type="dxa"/>
        <w:tblInd w:w="704" w:type="dxa"/>
        <w:tblLook w:val="04A0" w:firstRow="1" w:lastRow="0" w:firstColumn="1" w:lastColumn="0" w:noHBand="0" w:noVBand="1"/>
      </w:tblPr>
      <w:tblGrid>
        <w:gridCol w:w="3233"/>
        <w:gridCol w:w="1445"/>
        <w:gridCol w:w="1417"/>
        <w:gridCol w:w="2209"/>
      </w:tblGrid>
      <w:tr w:rsidR="00FF1BE2" w14:paraId="451BCF64" w14:textId="77777777" w:rsidTr="00AF0274">
        <w:trPr>
          <w:trHeight w:val="31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0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1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2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Outturn 31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Mar 22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3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Variance 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(Under)/Overspend</w:t>
            </w:r>
          </w:p>
        </w:tc>
      </w:tr>
      <w:tr w:rsidR="00FF1BE2" w14:paraId="451BCF69" w14:textId="77777777" w:rsidTr="00AF0274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5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6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7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68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R="00FF1BE2" w14:paraId="451BCF6E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6A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Commercial &amp; Property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6B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1,750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6C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,827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6D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77</w:t>
            </w:r>
          </w:p>
        </w:tc>
      </w:tr>
      <w:tr w:rsidR="00FF1BE2" w14:paraId="451BCF73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6F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Communities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0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1,690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1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1,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44</w:t>
            </w:r>
            <w:r w:rsidR="00E64B5E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72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  <w:r w:rsidR="00E64B5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FF1BE2" w14:paraId="451BCF78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4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Customer &amp; Digital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5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6,217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6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5,9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E64B5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77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  <w:r w:rsidR="00E64B5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FF1BE2" w14:paraId="451BCF7D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9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Governance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A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1,796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B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1,7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06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7C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FF1BE2" w14:paraId="451BCF82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E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Planning &amp; Development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7F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582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0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(67)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81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3D0E3D" w:rsidRPr="00830E2D">
              <w:rPr>
                <w:rFonts w:ascii="Arial" w:eastAsia="Times New Roman" w:hAnsi="Arial" w:cs="Arial"/>
                <w:color w:val="000000"/>
                <w:lang w:eastAsia="en-GB"/>
              </w:rPr>
              <w:t>649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FF1BE2" w14:paraId="451BCF87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3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Policy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4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1,881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5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2,</w:t>
            </w:r>
            <w:r w:rsidR="00D568B2" w:rsidRPr="00830E2D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  <w:r w:rsidR="008D598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86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245</w:t>
            </w:r>
            <w:r w:rsidR="00F20220"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F1BE2" w14:paraId="451BCF8C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8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Budgets Not In Directorates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9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564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A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D568B2" w:rsidRPr="00830E2D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8B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D568B2" w:rsidRPr="00830E2D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</w:tr>
      <w:tr w:rsidR="00FF1BE2" w14:paraId="451BCF91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D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Covid-19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E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8F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2E5391" w:rsidRPr="00830E2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90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2E5391" w:rsidRPr="00830E2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</w:p>
        </w:tc>
      </w:tr>
      <w:tr w:rsidR="00FF1BE2" w14:paraId="451BCF96" w14:textId="77777777" w:rsidTr="00AF0274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92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93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14,480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94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D568B2"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</w:t>
            </w:r>
            <w:r w:rsidR="00D568B2"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872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95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 w:rsidR="00D568B2"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608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FF1BE2" w14:paraId="451BCF9B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97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98" w14:textId="77777777" w:rsidR="004C2A6C" w:rsidRPr="00830E2D" w:rsidRDefault="004C2A6C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99" w14:textId="77777777" w:rsidR="004C2A6C" w:rsidRPr="00830E2D" w:rsidRDefault="004C2A6C" w:rsidP="004C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9A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F1BE2" w14:paraId="451BCFA0" w14:textId="77777777" w:rsidTr="00AF0274">
        <w:trPr>
          <w:trHeight w:val="30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9C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9D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9E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Outturn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at 31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Jan 22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9F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Variance (Under)/Overspend</w:t>
            </w:r>
          </w:p>
        </w:tc>
      </w:tr>
      <w:tr w:rsidR="00FF1BE2" w14:paraId="451BCFA5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A1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A2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A3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BCFA4" w14:textId="77777777" w:rsidR="004C2A6C" w:rsidRPr="00830E2D" w:rsidRDefault="00B96555" w:rsidP="004C2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R="00FF1BE2" w14:paraId="451BCFAA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6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Council Tax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7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8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A9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R="00FF1BE2" w14:paraId="451BCFAF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B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Lower Tier </w:t>
            </w: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Support Grant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C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AD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AE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R="00FF1BE2" w14:paraId="451BCFB4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0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New Homes Bonus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1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2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B3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R="00FF1BE2" w14:paraId="451BCFB9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5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Reserves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6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(124)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7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B8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124 </w:t>
            </w:r>
          </w:p>
        </w:tc>
      </w:tr>
      <w:tr w:rsidR="00FF1BE2" w14:paraId="451BCFBE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A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Retained Business Rates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B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C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BD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R="00FF1BE2" w14:paraId="451BCFC3" w14:textId="77777777" w:rsidTr="00AF0274">
        <w:trPr>
          <w:trHeight w:val="300"/>
        </w:trPr>
        <w:tc>
          <w:tcPr>
            <w:tcW w:w="3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BF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Section 31 Government Grants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C0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CFC1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C2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R="00FF1BE2" w14:paraId="451BCFC8" w14:textId="77777777" w:rsidTr="00AF0274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4" w14:textId="77777777" w:rsidR="004C2A6C" w:rsidRPr="00830E2D" w:rsidRDefault="00B96555" w:rsidP="004C2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Funding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5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(14,480)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6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</w:t>
            </w:r>
            <w:r w:rsidR="00830E2D"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356</w:t>
            </w: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C7" w14:textId="77777777" w:rsidR="004C2A6C" w:rsidRPr="00830E2D" w:rsidRDefault="00B96555" w:rsidP="004C2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30E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124 </w:t>
            </w:r>
          </w:p>
        </w:tc>
      </w:tr>
      <w:tr w:rsidR="00FF1BE2" w14:paraId="451BCFCD" w14:textId="77777777" w:rsidTr="00C01720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9" w14:textId="77777777" w:rsidR="00C01720" w:rsidRPr="00C01720" w:rsidRDefault="00B96555" w:rsidP="00C01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A" w14:textId="77777777" w:rsidR="00C01720" w:rsidRPr="00C01720" w:rsidRDefault="00C01720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B" w14:textId="77777777" w:rsidR="00C01720" w:rsidRPr="00C01720" w:rsidRDefault="00C01720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CC" w14:textId="77777777" w:rsidR="00C01720" w:rsidRPr="00C01720" w:rsidRDefault="00B96555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F1BE2" w14:paraId="451BCFD2" w14:textId="77777777" w:rsidTr="00C01720">
        <w:trPr>
          <w:trHeight w:val="315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E" w14:textId="77777777" w:rsidR="00C01720" w:rsidRPr="00C01720" w:rsidRDefault="00B96555" w:rsidP="00C017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Outturn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CF" w14:textId="77777777" w:rsidR="00C01720" w:rsidRPr="00C01720" w:rsidRDefault="00B96555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-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CFD0" w14:textId="77777777" w:rsidR="00C01720" w:rsidRPr="00C01720" w:rsidRDefault="00B96555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484</w:t>
            </w: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FD1" w14:textId="77777777" w:rsidR="00C01720" w:rsidRPr="00C01720" w:rsidRDefault="00B96555" w:rsidP="00C017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484</w:t>
            </w:r>
            <w:r w:rsidRPr="00C017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</w:tr>
    </w:tbl>
    <w:p w14:paraId="451BCFD3" w14:textId="77777777" w:rsidR="007815C3" w:rsidRPr="00541E07" w:rsidRDefault="007815C3" w:rsidP="00370F37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CFD4" w14:textId="77777777" w:rsidR="004232C9" w:rsidRPr="00541E07" w:rsidRDefault="004232C9" w:rsidP="007815C3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D5" w14:textId="77777777" w:rsidR="00C235DB" w:rsidRPr="007C4A05" w:rsidRDefault="00B96555" w:rsidP="009860E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7C4A05">
        <w:rPr>
          <w:rFonts w:cstheme="minorHAnsi"/>
          <w:b/>
          <w:bCs/>
          <w:iCs/>
        </w:rPr>
        <w:t xml:space="preserve">Commercial and Property – </w:t>
      </w:r>
      <w:r w:rsidR="00033017" w:rsidRPr="007C4A05">
        <w:rPr>
          <w:rFonts w:cstheme="minorHAnsi"/>
          <w:b/>
          <w:bCs/>
          <w:iCs/>
        </w:rPr>
        <w:t>Overspend</w:t>
      </w:r>
      <w:r w:rsidRPr="007C4A05">
        <w:rPr>
          <w:rFonts w:cstheme="minorHAnsi"/>
          <w:b/>
          <w:bCs/>
          <w:iCs/>
        </w:rPr>
        <w:t xml:space="preserve"> of £</w:t>
      </w:r>
      <w:r w:rsidR="00033017" w:rsidRPr="007C4A05">
        <w:rPr>
          <w:rFonts w:cstheme="minorHAnsi"/>
          <w:b/>
          <w:bCs/>
          <w:iCs/>
        </w:rPr>
        <w:t>7</w:t>
      </w:r>
      <w:r w:rsidR="00AB4F95">
        <w:rPr>
          <w:rFonts w:cstheme="minorHAnsi"/>
          <w:b/>
          <w:bCs/>
          <w:iCs/>
        </w:rPr>
        <w:t>7</w:t>
      </w:r>
      <w:r w:rsidRPr="007C4A05">
        <w:rPr>
          <w:rFonts w:cstheme="minorHAnsi"/>
          <w:b/>
          <w:bCs/>
          <w:iCs/>
        </w:rPr>
        <w:t>k</w:t>
      </w:r>
      <w:r w:rsidR="00F17172">
        <w:rPr>
          <w:rFonts w:cstheme="minorHAnsi"/>
          <w:b/>
          <w:bCs/>
          <w:iCs/>
        </w:rPr>
        <w:t xml:space="preserve"> </w:t>
      </w:r>
    </w:p>
    <w:p w14:paraId="451BCFD6" w14:textId="77777777" w:rsidR="00154DD4" w:rsidRDefault="00154DD4" w:rsidP="00154DD4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CFD7" w14:textId="77777777" w:rsidR="008D5982" w:rsidRPr="00E06364" w:rsidRDefault="00B96555" w:rsidP="00154DD4">
      <w:pPr>
        <w:spacing w:after="0" w:line="240" w:lineRule="auto"/>
        <w:ind w:left="360"/>
        <w:jc w:val="both"/>
        <w:rPr>
          <w:rFonts w:cstheme="minorHAnsi"/>
          <w:bCs/>
          <w:iCs/>
        </w:rPr>
      </w:pPr>
      <w:r w:rsidRPr="00E06364">
        <w:rPr>
          <w:rFonts w:cstheme="minorHAnsi"/>
          <w:bCs/>
          <w:iCs/>
        </w:rPr>
        <w:t>The key variances to note are;</w:t>
      </w:r>
    </w:p>
    <w:p w14:paraId="451BCFD8" w14:textId="77777777" w:rsidR="00154DD4" w:rsidRPr="00E06364" w:rsidRDefault="00154DD4" w:rsidP="00154DD4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CFD9" w14:textId="77777777" w:rsidR="00C1261A" w:rsidRPr="00E06364" w:rsidRDefault="00B96555" w:rsidP="00BE29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 w:rsidRPr="00E06364">
        <w:rPr>
          <w:rFonts w:cstheme="minorHAnsi"/>
          <w:bCs/>
          <w:iCs/>
        </w:rPr>
        <w:t>£97k additional staffing cost</w:t>
      </w:r>
      <w:r w:rsidR="00FF4F92" w:rsidRPr="00E06364">
        <w:rPr>
          <w:rFonts w:cstheme="minorHAnsi"/>
          <w:bCs/>
          <w:iCs/>
        </w:rPr>
        <w:t>s</w:t>
      </w:r>
      <w:r w:rsidRPr="00E06364">
        <w:rPr>
          <w:rFonts w:cstheme="minorHAnsi"/>
          <w:bCs/>
          <w:iCs/>
        </w:rPr>
        <w:t xml:space="preserve"> in respect of support required in the facilities and estates teams</w:t>
      </w:r>
      <w:r w:rsidR="007D1550" w:rsidRPr="00E06364">
        <w:rPr>
          <w:rFonts w:cstheme="minorHAnsi"/>
          <w:bCs/>
          <w:iCs/>
        </w:rPr>
        <w:t xml:space="preserve"> and </w:t>
      </w:r>
      <w:r w:rsidRPr="00E06364">
        <w:rPr>
          <w:rFonts w:cstheme="minorHAnsi"/>
          <w:bCs/>
          <w:iCs/>
        </w:rPr>
        <w:t>further cost</w:t>
      </w:r>
      <w:r w:rsidR="007D1550" w:rsidRPr="00E06364">
        <w:rPr>
          <w:rFonts w:cstheme="minorHAnsi"/>
          <w:bCs/>
          <w:iCs/>
        </w:rPr>
        <w:t>s incurred</w:t>
      </w:r>
      <w:r w:rsidRPr="00E06364">
        <w:rPr>
          <w:rFonts w:cstheme="minorHAnsi"/>
          <w:bCs/>
          <w:iCs/>
        </w:rPr>
        <w:t xml:space="preserve"> on repairs and maintenance of £118k</w:t>
      </w:r>
      <w:r w:rsidR="00E06364" w:rsidRPr="00E06364">
        <w:rPr>
          <w:rFonts w:cstheme="minorHAnsi"/>
          <w:bCs/>
          <w:iCs/>
        </w:rPr>
        <w:t>.</w:t>
      </w:r>
    </w:p>
    <w:p w14:paraId="451BCFDA" w14:textId="77777777" w:rsidR="000C11F8" w:rsidRPr="00771F55" w:rsidRDefault="00B96555" w:rsidP="00BE297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 w:rsidRPr="00E06364">
        <w:rPr>
          <w:rFonts w:cstheme="minorHAnsi"/>
          <w:bCs/>
          <w:iCs/>
        </w:rPr>
        <w:t>There is an overspend of £47k due to</w:t>
      </w:r>
      <w:r w:rsidR="00771F55" w:rsidRPr="00771F55">
        <w:rPr>
          <w:rFonts w:cstheme="minorHAnsi"/>
          <w:bCs/>
          <w:iCs/>
        </w:rPr>
        <w:t xml:space="preserve"> </w:t>
      </w:r>
      <w:r w:rsidRPr="00771F55">
        <w:rPr>
          <w:rFonts w:cstheme="minorHAnsi"/>
          <w:bCs/>
          <w:iCs/>
        </w:rPr>
        <w:t>agency staff cost</w:t>
      </w:r>
      <w:r w:rsidR="00CB6FDC" w:rsidRPr="00771F55">
        <w:rPr>
          <w:rFonts w:cstheme="minorHAnsi"/>
          <w:bCs/>
          <w:iCs/>
        </w:rPr>
        <w:t>s</w:t>
      </w:r>
      <w:r w:rsidR="007D1550" w:rsidRPr="00771F55">
        <w:rPr>
          <w:rFonts w:cstheme="minorHAnsi"/>
          <w:bCs/>
          <w:iCs/>
        </w:rPr>
        <w:t xml:space="preserve"> </w:t>
      </w:r>
      <w:r w:rsidR="00FF4F92">
        <w:rPr>
          <w:rFonts w:cstheme="minorHAnsi"/>
          <w:bCs/>
          <w:iCs/>
        </w:rPr>
        <w:t xml:space="preserve">in property, </w:t>
      </w:r>
      <w:r w:rsidRPr="00771F55">
        <w:rPr>
          <w:rFonts w:cstheme="minorHAnsi"/>
          <w:bCs/>
          <w:iCs/>
        </w:rPr>
        <w:t xml:space="preserve">and </w:t>
      </w:r>
      <w:r w:rsidR="007D1550" w:rsidRPr="00771F55">
        <w:rPr>
          <w:rFonts w:cstheme="minorHAnsi"/>
          <w:bCs/>
          <w:iCs/>
        </w:rPr>
        <w:t xml:space="preserve">a </w:t>
      </w:r>
      <w:r w:rsidRPr="00771F55">
        <w:rPr>
          <w:rFonts w:cstheme="minorHAnsi"/>
          <w:bCs/>
          <w:iCs/>
        </w:rPr>
        <w:t xml:space="preserve">reduction in income of £52k </w:t>
      </w:r>
      <w:r w:rsidR="00565957" w:rsidRPr="00771F55">
        <w:rPr>
          <w:rFonts w:cstheme="minorHAnsi"/>
          <w:bCs/>
          <w:iCs/>
        </w:rPr>
        <w:t>across</w:t>
      </w:r>
      <w:r w:rsidRPr="00771F55">
        <w:rPr>
          <w:rFonts w:cstheme="minorHAnsi"/>
          <w:bCs/>
          <w:iCs/>
        </w:rPr>
        <w:t xml:space="preserve"> </w:t>
      </w:r>
      <w:r w:rsidR="004C7497" w:rsidRPr="00771F55">
        <w:rPr>
          <w:rFonts w:cstheme="minorHAnsi"/>
          <w:bCs/>
          <w:iCs/>
        </w:rPr>
        <w:t>the market and the business and conference centr</w:t>
      </w:r>
      <w:r w:rsidRPr="00771F55">
        <w:rPr>
          <w:rFonts w:cstheme="minorHAnsi"/>
          <w:bCs/>
          <w:iCs/>
        </w:rPr>
        <w:t>e</w:t>
      </w:r>
      <w:r w:rsidR="00FF4F92">
        <w:rPr>
          <w:rFonts w:cstheme="minorHAnsi"/>
          <w:bCs/>
          <w:iCs/>
        </w:rPr>
        <w:t>,</w:t>
      </w:r>
      <w:r w:rsidR="00CB6FDC" w:rsidRPr="00771F55">
        <w:rPr>
          <w:rFonts w:cstheme="minorHAnsi"/>
          <w:bCs/>
          <w:iCs/>
        </w:rPr>
        <w:t xml:space="preserve"> </w:t>
      </w:r>
      <w:r w:rsidR="007D1550" w:rsidRPr="00771F55">
        <w:rPr>
          <w:rFonts w:cstheme="minorHAnsi"/>
          <w:bCs/>
          <w:iCs/>
        </w:rPr>
        <w:t>due to the impact of C</w:t>
      </w:r>
      <w:r w:rsidR="00CB6FDC" w:rsidRPr="00771F55">
        <w:rPr>
          <w:rFonts w:cstheme="minorHAnsi"/>
          <w:bCs/>
          <w:iCs/>
        </w:rPr>
        <w:t>ovid</w:t>
      </w:r>
      <w:r w:rsidR="007D1550" w:rsidRPr="00771F55">
        <w:rPr>
          <w:rFonts w:cstheme="minorHAnsi"/>
          <w:bCs/>
          <w:iCs/>
        </w:rPr>
        <w:t>.</w:t>
      </w:r>
      <w:r w:rsidRPr="00771F55">
        <w:rPr>
          <w:rFonts w:cstheme="minorHAnsi"/>
          <w:bCs/>
          <w:iCs/>
        </w:rPr>
        <w:t xml:space="preserve"> </w:t>
      </w:r>
      <w:r w:rsidR="00CB6FDC" w:rsidRPr="00771F55">
        <w:rPr>
          <w:rFonts w:cstheme="minorHAnsi"/>
          <w:bCs/>
          <w:iCs/>
        </w:rPr>
        <w:t>There was an</w:t>
      </w:r>
      <w:r w:rsidRPr="00771F55">
        <w:rPr>
          <w:rFonts w:cstheme="minorHAnsi"/>
          <w:bCs/>
          <w:iCs/>
        </w:rPr>
        <w:t xml:space="preserve"> increase in repa</w:t>
      </w:r>
      <w:r w:rsidRPr="00771F55">
        <w:rPr>
          <w:rFonts w:cstheme="minorHAnsi"/>
          <w:bCs/>
          <w:iCs/>
        </w:rPr>
        <w:t xml:space="preserve">irs and maintenance </w:t>
      </w:r>
      <w:r w:rsidR="00FF4F92">
        <w:rPr>
          <w:rFonts w:cstheme="minorHAnsi"/>
          <w:bCs/>
          <w:iCs/>
        </w:rPr>
        <w:t>at</w:t>
      </w:r>
      <w:r w:rsidRPr="00771F55">
        <w:rPr>
          <w:rFonts w:cstheme="minorHAnsi"/>
          <w:bCs/>
          <w:iCs/>
        </w:rPr>
        <w:t xml:space="preserve"> Moss Side </w:t>
      </w:r>
      <w:r w:rsidR="00FF4F92">
        <w:rPr>
          <w:rFonts w:cstheme="minorHAnsi"/>
          <w:bCs/>
          <w:iCs/>
        </w:rPr>
        <w:t>of</w:t>
      </w:r>
      <w:r w:rsidRPr="00771F55">
        <w:rPr>
          <w:rFonts w:cstheme="minorHAnsi"/>
          <w:bCs/>
          <w:iCs/>
        </w:rPr>
        <w:t xml:space="preserve"> £27k.</w:t>
      </w:r>
    </w:p>
    <w:p w14:paraId="451BCFDB" w14:textId="77777777" w:rsidR="007815C3" w:rsidRPr="00232655" w:rsidRDefault="00B96555" w:rsidP="00F210A6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 w:rsidRPr="00232655">
        <w:rPr>
          <w:rFonts w:cstheme="minorHAnsi"/>
          <w:bCs/>
          <w:iCs/>
        </w:rPr>
        <w:t xml:space="preserve">Leisure Services </w:t>
      </w:r>
      <w:r w:rsidR="006B77FF" w:rsidRPr="00232655">
        <w:rPr>
          <w:rFonts w:cstheme="minorHAnsi"/>
          <w:bCs/>
          <w:iCs/>
        </w:rPr>
        <w:t>has an</w:t>
      </w:r>
      <w:r w:rsidRPr="00232655">
        <w:rPr>
          <w:rFonts w:cstheme="minorHAnsi"/>
          <w:bCs/>
          <w:iCs/>
        </w:rPr>
        <w:t xml:space="preserve"> underspend by £2</w:t>
      </w:r>
      <w:r w:rsidR="006B77FF" w:rsidRPr="00232655">
        <w:rPr>
          <w:rFonts w:cstheme="minorHAnsi"/>
          <w:bCs/>
          <w:iCs/>
        </w:rPr>
        <w:t>74</w:t>
      </w:r>
      <w:r w:rsidRPr="00232655">
        <w:rPr>
          <w:rFonts w:cstheme="minorHAnsi"/>
          <w:bCs/>
          <w:iCs/>
        </w:rPr>
        <w:t xml:space="preserve">k against budget – </w:t>
      </w:r>
      <w:r w:rsidR="008D5982">
        <w:rPr>
          <w:rFonts w:cstheme="minorHAnsi"/>
          <w:bCs/>
          <w:iCs/>
        </w:rPr>
        <w:t xml:space="preserve">this has arisen as </w:t>
      </w:r>
      <w:r w:rsidRPr="00232655">
        <w:rPr>
          <w:rFonts w:cstheme="minorHAnsi"/>
          <w:bCs/>
          <w:iCs/>
        </w:rPr>
        <w:t xml:space="preserve">the budget </w:t>
      </w:r>
      <w:r w:rsidR="008D5982">
        <w:rPr>
          <w:rFonts w:cstheme="minorHAnsi"/>
          <w:bCs/>
          <w:iCs/>
        </w:rPr>
        <w:t>assumed that leisure services would be p</w:t>
      </w:r>
      <w:r w:rsidRPr="00232655">
        <w:rPr>
          <w:rFonts w:cstheme="minorHAnsi"/>
          <w:bCs/>
          <w:iCs/>
        </w:rPr>
        <w:t>rovi</w:t>
      </w:r>
      <w:r w:rsidR="008D5982">
        <w:rPr>
          <w:rFonts w:cstheme="minorHAnsi"/>
          <w:bCs/>
          <w:iCs/>
        </w:rPr>
        <w:t>ded</w:t>
      </w:r>
      <w:r w:rsidRPr="00232655">
        <w:rPr>
          <w:rFonts w:cstheme="minorHAnsi"/>
          <w:bCs/>
          <w:iCs/>
        </w:rPr>
        <w:t xml:space="preserve"> </w:t>
      </w:r>
      <w:r w:rsidR="008D5982">
        <w:rPr>
          <w:rFonts w:cstheme="minorHAnsi"/>
          <w:bCs/>
          <w:iCs/>
        </w:rPr>
        <w:t xml:space="preserve">by the council </w:t>
      </w:r>
      <w:r w:rsidRPr="00232655">
        <w:rPr>
          <w:rFonts w:cstheme="minorHAnsi"/>
          <w:bCs/>
          <w:iCs/>
        </w:rPr>
        <w:t>throughout 2021/22</w:t>
      </w:r>
      <w:r w:rsidR="008D5982">
        <w:rPr>
          <w:rFonts w:cstheme="minorHAnsi"/>
          <w:bCs/>
          <w:iCs/>
        </w:rPr>
        <w:t>,</w:t>
      </w:r>
      <w:r w:rsidRPr="00232655">
        <w:rPr>
          <w:rFonts w:cstheme="minorHAnsi"/>
          <w:bCs/>
          <w:iCs/>
        </w:rPr>
        <w:t xml:space="preserve"> however the service </w:t>
      </w:r>
      <w:r w:rsidR="008D5982">
        <w:rPr>
          <w:rFonts w:cstheme="minorHAnsi"/>
          <w:bCs/>
          <w:iCs/>
        </w:rPr>
        <w:t>t</w:t>
      </w:r>
      <w:r w:rsidRPr="00232655">
        <w:rPr>
          <w:rFonts w:cstheme="minorHAnsi"/>
          <w:bCs/>
          <w:iCs/>
        </w:rPr>
        <w:t>ransferred to South Ribble Leisure Ltd (a wholly owned subsidiary of the council) on 1st September 2021. The reported underspend reflects the transfer</w:t>
      </w:r>
      <w:r w:rsidR="008D5982">
        <w:rPr>
          <w:rFonts w:cstheme="minorHAnsi"/>
          <w:bCs/>
          <w:iCs/>
        </w:rPr>
        <w:t xml:space="preserve"> on this date</w:t>
      </w:r>
      <w:r w:rsidRPr="00232655">
        <w:rPr>
          <w:rFonts w:cstheme="minorHAnsi"/>
          <w:bCs/>
          <w:iCs/>
        </w:rPr>
        <w:t xml:space="preserve">, with </w:t>
      </w:r>
      <w:r w:rsidR="008D5982">
        <w:rPr>
          <w:rFonts w:cstheme="minorHAnsi"/>
          <w:bCs/>
          <w:iCs/>
        </w:rPr>
        <w:t xml:space="preserve">the </w:t>
      </w:r>
      <w:r w:rsidRPr="00232655">
        <w:rPr>
          <w:rFonts w:cstheme="minorHAnsi"/>
          <w:bCs/>
          <w:iCs/>
        </w:rPr>
        <w:t xml:space="preserve">actual income and expenditure included </w:t>
      </w:r>
      <w:r w:rsidR="008D5982">
        <w:rPr>
          <w:rFonts w:cstheme="minorHAnsi"/>
          <w:bCs/>
          <w:iCs/>
        </w:rPr>
        <w:t xml:space="preserve">in the council’s accounts </w:t>
      </w:r>
      <w:r w:rsidRPr="00232655">
        <w:rPr>
          <w:rFonts w:cstheme="minorHAnsi"/>
          <w:bCs/>
          <w:iCs/>
        </w:rPr>
        <w:t>for</w:t>
      </w:r>
      <w:r w:rsidR="00FF4F92">
        <w:rPr>
          <w:rFonts w:cstheme="minorHAnsi"/>
          <w:bCs/>
          <w:iCs/>
        </w:rPr>
        <w:t xml:space="preserve"> the first</w:t>
      </w:r>
      <w:r w:rsidRPr="00232655">
        <w:rPr>
          <w:rFonts w:cstheme="minorHAnsi"/>
          <w:bCs/>
          <w:iCs/>
        </w:rPr>
        <w:t xml:space="preserve"> 5 months of the year</w:t>
      </w:r>
      <w:r w:rsidR="008D5982">
        <w:rPr>
          <w:rFonts w:cstheme="minorHAnsi"/>
          <w:bCs/>
          <w:iCs/>
        </w:rPr>
        <w:t xml:space="preserve">. The figure also reflects </w:t>
      </w:r>
      <w:r w:rsidRPr="00232655">
        <w:rPr>
          <w:rFonts w:cstheme="minorHAnsi"/>
          <w:bCs/>
          <w:iCs/>
        </w:rPr>
        <w:t>an unbudgeted receipt of £106k in respect of furlough funding for the period 1st April to 31st August 2021.</w:t>
      </w:r>
    </w:p>
    <w:p w14:paraId="451BCFDC" w14:textId="77777777" w:rsidR="00F210A6" w:rsidRPr="00033017" w:rsidRDefault="00F210A6" w:rsidP="002A3921">
      <w:pPr>
        <w:spacing w:after="0" w:line="240" w:lineRule="auto"/>
        <w:jc w:val="both"/>
        <w:rPr>
          <w:rFonts w:cstheme="minorHAnsi"/>
          <w:bCs/>
          <w:iCs/>
        </w:rPr>
      </w:pPr>
    </w:p>
    <w:p w14:paraId="451BCFDD" w14:textId="77777777" w:rsidR="009D449E" w:rsidRPr="00033017" w:rsidRDefault="00B96555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033017">
        <w:rPr>
          <w:rFonts w:cstheme="minorHAnsi"/>
          <w:b/>
          <w:bCs/>
          <w:iCs/>
        </w:rPr>
        <w:t xml:space="preserve">Communities – </w:t>
      </w:r>
      <w:r w:rsidR="00830E2D">
        <w:rPr>
          <w:rFonts w:cstheme="minorHAnsi"/>
          <w:b/>
          <w:bCs/>
          <w:iCs/>
        </w:rPr>
        <w:t>U</w:t>
      </w:r>
      <w:r w:rsidRPr="00033017">
        <w:rPr>
          <w:rFonts w:cstheme="minorHAnsi"/>
          <w:b/>
          <w:bCs/>
          <w:iCs/>
        </w:rPr>
        <w:t>nderspend of £</w:t>
      </w:r>
      <w:r w:rsidR="006B77FF" w:rsidRPr="00033017">
        <w:rPr>
          <w:rFonts w:cstheme="minorHAnsi"/>
          <w:b/>
          <w:bCs/>
          <w:iCs/>
        </w:rPr>
        <w:t>24</w:t>
      </w:r>
      <w:r w:rsidR="008D5982">
        <w:rPr>
          <w:rFonts w:cstheme="minorHAnsi"/>
          <w:b/>
          <w:bCs/>
          <w:iCs/>
        </w:rPr>
        <w:t>2</w:t>
      </w:r>
      <w:r w:rsidRPr="00033017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</w:p>
    <w:p w14:paraId="451BCFDE" w14:textId="77777777" w:rsidR="00154DD4" w:rsidRDefault="00154DD4" w:rsidP="00154DD4">
      <w:pPr>
        <w:spacing w:after="0" w:line="240" w:lineRule="auto"/>
        <w:ind w:left="360"/>
        <w:jc w:val="both"/>
        <w:rPr>
          <w:rFonts w:cstheme="minorHAnsi"/>
          <w:bCs/>
          <w:iCs/>
          <w:strike/>
        </w:rPr>
      </w:pPr>
    </w:p>
    <w:p w14:paraId="451BCFDF" w14:textId="77777777" w:rsidR="00154DD4" w:rsidRDefault="00B96555" w:rsidP="00154DD4">
      <w:pPr>
        <w:spacing w:after="0" w:line="240" w:lineRule="auto"/>
        <w:ind w:firstLine="36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key variances to note are;</w:t>
      </w:r>
    </w:p>
    <w:p w14:paraId="451BCFE0" w14:textId="77777777" w:rsidR="00154DD4" w:rsidRPr="00154DD4" w:rsidRDefault="00154DD4" w:rsidP="00154DD4">
      <w:pPr>
        <w:spacing w:after="0" w:line="240" w:lineRule="auto"/>
        <w:ind w:firstLine="360"/>
        <w:jc w:val="both"/>
        <w:rPr>
          <w:rFonts w:cstheme="minorHAnsi"/>
          <w:bCs/>
          <w:iCs/>
          <w:strike/>
        </w:rPr>
      </w:pPr>
    </w:p>
    <w:p w14:paraId="451BCFE1" w14:textId="77777777" w:rsidR="00C37B43" w:rsidRPr="00033017" w:rsidRDefault="00B96555" w:rsidP="00C37B4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  <w:strike/>
        </w:rPr>
      </w:pPr>
      <w:r w:rsidRPr="00033017">
        <w:rPr>
          <w:rFonts w:cstheme="minorHAnsi"/>
          <w:bCs/>
          <w:iCs/>
        </w:rPr>
        <w:t xml:space="preserve">The </w:t>
      </w:r>
      <w:r w:rsidR="004C7497" w:rsidRPr="00033017">
        <w:rPr>
          <w:rFonts w:cstheme="minorHAnsi"/>
          <w:bCs/>
          <w:iCs/>
        </w:rPr>
        <w:t xml:space="preserve">Community Involvement </w:t>
      </w:r>
      <w:r w:rsidRPr="00033017">
        <w:rPr>
          <w:rFonts w:cstheme="minorHAnsi"/>
          <w:bCs/>
          <w:iCs/>
        </w:rPr>
        <w:t xml:space="preserve">budget has </w:t>
      </w:r>
      <w:r w:rsidR="004C7497" w:rsidRPr="00033017">
        <w:rPr>
          <w:rFonts w:cstheme="minorHAnsi"/>
          <w:bCs/>
          <w:iCs/>
        </w:rPr>
        <w:t>an underspend of £</w:t>
      </w:r>
      <w:r w:rsidRPr="00033017">
        <w:rPr>
          <w:rFonts w:cstheme="minorHAnsi"/>
          <w:bCs/>
          <w:iCs/>
        </w:rPr>
        <w:t>146</w:t>
      </w:r>
      <w:r w:rsidR="004C7497" w:rsidRPr="00033017">
        <w:rPr>
          <w:rFonts w:cstheme="minorHAnsi"/>
          <w:bCs/>
          <w:iCs/>
        </w:rPr>
        <w:t>k</w:t>
      </w:r>
      <w:r w:rsidR="008D5982">
        <w:rPr>
          <w:rFonts w:cstheme="minorHAnsi"/>
          <w:bCs/>
          <w:iCs/>
        </w:rPr>
        <w:t>,</w:t>
      </w:r>
      <w:r w:rsidRPr="00033017">
        <w:rPr>
          <w:rFonts w:cstheme="minorHAnsi"/>
          <w:bCs/>
          <w:iCs/>
        </w:rPr>
        <w:t xml:space="preserve"> of which £1</w:t>
      </w:r>
      <w:r w:rsidR="00033017" w:rsidRPr="00033017">
        <w:rPr>
          <w:rFonts w:cstheme="minorHAnsi"/>
          <w:bCs/>
          <w:iCs/>
        </w:rPr>
        <w:t>1</w:t>
      </w:r>
      <w:r w:rsidRPr="00033017">
        <w:rPr>
          <w:rFonts w:cstheme="minorHAnsi"/>
          <w:bCs/>
          <w:iCs/>
        </w:rPr>
        <w:t xml:space="preserve">k relates </w:t>
      </w:r>
      <w:r w:rsidR="008D5982">
        <w:rPr>
          <w:rFonts w:cstheme="minorHAnsi"/>
          <w:bCs/>
          <w:iCs/>
        </w:rPr>
        <w:t xml:space="preserve">to </w:t>
      </w:r>
      <w:r w:rsidR="004C7497" w:rsidRPr="00033017">
        <w:rPr>
          <w:rFonts w:cstheme="minorHAnsi"/>
          <w:bCs/>
          <w:iCs/>
        </w:rPr>
        <w:t>staffing vacancies</w:t>
      </w:r>
      <w:r w:rsidRPr="00033017">
        <w:rPr>
          <w:rFonts w:cstheme="minorHAnsi"/>
          <w:bCs/>
          <w:iCs/>
        </w:rPr>
        <w:t>, £98</w:t>
      </w:r>
      <w:r w:rsidR="00CB6FDC">
        <w:rPr>
          <w:rFonts w:cstheme="minorHAnsi"/>
          <w:bCs/>
          <w:iCs/>
        </w:rPr>
        <w:t>k</w:t>
      </w:r>
      <w:r w:rsidRPr="00033017">
        <w:rPr>
          <w:rFonts w:cstheme="minorHAnsi"/>
          <w:bCs/>
          <w:iCs/>
        </w:rPr>
        <w:t xml:space="preserve"> </w:t>
      </w:r>
      <w:r w:rsidR="00A7137B">
        <w:rPr>
          <w:rFonts w:cstheme="minorHAnsi"/>
          <w:bCs/>
          <w:iCs/>
        </w:rPr>
        <w:t xml:space="preserve">in respect of </w:t>
      </w:r>
      <w:r w:rsidRPr="00033017">
        <w:rPr>
          <w:rFonts w:cstheme="minorHAnsi"/>
          <w:bCs/>
          <w:iCs/>
        </w:rPr>
        <w:t>increased income from various Active Health funding streams</w:t>
      </w:r>
      <w:r w:rsidR="005406FE" w:rsidRPr="00033017">
        <w:rPr>
          <w:rFonts w:cstheme="minorHAnsi"/>
          <w:bCs/>
          <w:iCs/>
        </w:rPr>
        <w:t xml:space="preserve">, </w:t>
      </w:r>
      <w:r w:rsidR="00A7137B">
        <w:rPr>
          <w:rFonts w:cstheme="minorHAnsi"/>
          <w:bCs/>
          <w:iCs/>
        </w:rPr>
        <w:t xml:space="preserve">with the balance being </w:t>
      </w:r>
      <w:r w:rsidR="005406FE" w:rsidRPr="00033017">
        <w:rPr>
          <w:rFonts w:cstheme="minorHAnsi"/>
          <w:bCs/>
          <w:iCs/>
        </w:rPr>
        <w:t>underspend</w:t>
      </w:r>
      <w:r w:rsidR="00A7137B">
        <w:rPr>
          <w:rFonts w:cstheme="minorHAnsi"/>
          <w:bCs/>
          <w:iCs/>
        </w:rPr>
        <w:t>s</w:t>
      </w:r>
      <w:r w:rsidR="00033017" w:rsidRPr="00033017">
        <w:rPr>
          <w:rFonts w:cstheme="minorHAnsi"/>
          <w:bCs/>
          <w:iCs/>
        </w:rPr>
        <w:t xml:space="preserve"> on other general expenditure.</w:t>
      </w:r>
      <w:r w:rsidR="005406FE" w:rsidRPr="00033017">
        <w:rPr>
          <w:rFonts w:cstheme="minorHAnsi"/>
          <w:bCs/>
          <w:iCs/>
        </w:rPr>
        <w:t xml:space="preserve"> </w:t>
      </w:r>
      <w:r w:rsidRPr="00033017">
        <w:rPr>
          <w:rFonts w:cstheme="minorHAnsi"/>
          <w:bCs/>
          <w:iCs/>
          <w:color w:val="FF0000"/>
        </w:rPr>
        <w:t xml:space="preserve"> </w:t>
      </w:r>
    </w:p>
    <w:p w14:paraId="451BCFE2" w14:textId="77777777" w:rsidR="00C37B43" w:rsidRPr="00E06364" w:rsidRDefault="00B96555" w:rsidP="00BA0B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</w:t>
      </w:r>
      <w:r w:rsidR="0052511C" w:rsidRPr="005F1332">
        <w:rPr>
          <w:rFonts w:cstheme="minorHAnsi"/>
          <w:bCs/>
          <w:iCs/>
        </w:rPr>
        <w:t xml:space="preserve">Departmental Costs </w:t>
      </w:r>
      <w:r>
        <w:rPr>
          <w:rFonts w:cstheme="minorHAnsi"/>
          <w:bCs/>
          <w:iCs/>
        </w:rPr>
        <w:t xml:space="preserve">cost centre </w:t>
      </w:r>
      <w:r w:rsidR="0052511C" w:rsidRPr="005F1332">
        <w:rPr>
          <w:rFonts w:cstheme="minorHAnsi"/>
          <w:bCs/>
          <w:iCs/>
        </w:rPr>
        <w:t xml:space="preserve">has an underspend of £31k due to the vacant Assistant Director </w:t>
      </w:r>
      <w:r w:rsidRPr="00E06364">
        <w:rPr>
          <w:rFonts w:cstheme="minorHAnsi"/>
          <w:bCs/>
          <w:iCs/>
        </w:rPr>
        <w:t xml:space="preserve">post </w:t>
      </w:r>
      <w:r w:rsidR="0052511C" w:rsidRPr="00E06364">
        <w:rPr>
          <w:rFonts w:cstheme="minorHAnsi"/>
          <w:bCs/>
          <w:iCs/>
        </w:rPr>
        <w:t>(now deleted) which is offsetting overspends elsewhere.</w:t>
      </w:r>
    </w:p>
    <w:p w14:paraId="451BCFE3" w14:textId="77777777" w:rsidR="00C37B43" w:rsidRPr="00E06364" w:rsidRDefault="00B96555" w:rsidP="00BA0B0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E06364">
        <w:rPr>
          <w:rFonts w:cstheme="minorHAnsi"/>
          <w:bCs/>
          <w:iCs/>
        </w:rPr>
        <w:t xml:space="preserve">Environmental Health has an overspend of £26k </w:t>
      </w:r>
      <w:r w:rsidR="00A7137B" w:rsidRPr="00E06364">
        <w:rPr>
          <w:rFonts w:cstheme="minorHAnsi"/>
          <w:bCs/>
          <w:iCs/>
        </w:rPr>
        <w:t xml:space="preserve">relating to </w:t>
      </w:r>
      <w:r w:rsidR="00B70898" w:rsidRPr="00E06364">
        <w:rPr>
          <w:rFonts w:cstheme="minorHAnsi"/>
          <w:bCs/>
          <w:iCs/>
        </w:rPr>
        <w:t>staffing cost</w:t>
      </w:r>
      <w:r w:rsidR="00A7137B" w:rsidRPr="00E06364">
        <w:rPr>
          <w:rFonts w:cstheme="minorHAnsi"/>
          <w:bCs/>
          <w:iCs/>
        </w:rPr>
        <w:t>s</w:t>
      </w:r>
      <w:r w:rsidR="00B70898" w:rsidRPr="00E06364">
        <w:rPr>
          <w:rFonts w:cstheme="minorHAnsi"/>
          <w:bCs/>
          <w:iCs/>
        </w:rPr>
        <w:t>.</w:t>
      </w:r>
    </w:p>
    <w:p w14:paraId="451BCFE4" w14:textId="77777777" w:rsidR="000C7363" w:rsidRPr="000C4D64" w:rsidRDefault="00B96555" w:rsidP="006B77F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E06364">
        <w:rPr>
          <w:rFonts w:cstheme="minorHAnsi"/>
          <w:bCs/>
          <w:iCs/>
        </w:rPr>
        <w:t xml:space="preserve">The </w:t>
      </w:r>
      <w:r w:rsidR="004C7497" w:rsidRPr="00E06364">
        <w:rPr>
          <w:rFonts w:cstheme="minorHAnsi"/>
          <w:bCs/>
          <w:iCs/>
        </w:rPr>
        <w:t xml:space="preserve">Housing Support </w:t>
      </w:r>
      <w:r w:rsidRPr="00E06364">
        <w:rPr>
          <w:rFonts w:cstheme="minorHAnsi"/>
          <w:bCs/>
          <w:iCs/>
        </w:rPr>
        <w:t xml:space="preserve">budget </w:t>
      </w:r>
      <w:r w:rsidR="004C7497" w:rsidRPr="00E06364">
        <w:rPr>
          <w:rFonts w:cstheme="minorHAnsi"/>
          <w:bCs/>
          <w:iCs/>
        </w:rPr>
        <w:t>is underspen</w:t>
      </w:r>
      <w:r w:rsidR="00A7137B" w:rsidRPr="00E06364">
        <w:rPr>
          <w:rFonts w:cstheme="minorHAnsi"/>
          <w:bCs/>
          <w:iCs/>
        </w:rPr>
        <w:t>t</w:t>
      </w:r>
      <w:r w:rsidR="004C7497" w:rsidRPr="00E06364">
        <w:rPr>
          <w:rFonts w:cstheme="minorHAnsi"/>
          <w:bCs/>
          <w:iCs/>
        </w:rPr>
        <w:t xml:space="preserve"> due </w:t>
      </w:r>
      <w:r w:rsidR="00E06364" w:rsidRPr="00E06364">
        <w:rPr>
          <w:rFonts w:cstheme="minorHAnsi"/>
          <w:bCs/>
          <w:iCs/>
        </w:rPr>
        <w:t>additional admin</w:t>
      </w:r>
      <w:r w:rsidR="00565957" w:rsidRPr="00E06364">
        <w:rPr>
          <w:rFonts w:cstheme="minorHAnsi"/>
          <w:bCs/>
          <w:iCs/>
        </w:rPr>
        <w:t xml:space="preserve"> </w:t>
      </w:r>
      <w:r w:rsidR="004C7497" w:rsidRPr="00E06364">
        <w:rPr>
          <w:rFonts w:cstheme="minorHAnsi"/>
          <w:bCs/>
          <w:iCs/>
        </w:rPr>
        <w:t>charge</w:t>
      </w:r>
      <w:r w:rsidR="00E06364" w:rsidRPr="00E06364">
        <w:rPr>
          <w:rFonts w:cstheme="minorHAnsi"/>
          <w:bCs/>
          <w:iCs/>
        </w:rPr>
        <w:t xml:space="preserve"> income</w:t>
      </w:r>
      <w:r w:rsidR="004C7497" w:rsidRPr="00E06364">
        <w:rPr>
          <w:rFonts w:cstheme="minorHAnsi"/>
          <w:bCs/>
          <w:iCs/>
        </w:rPr>
        <w:t xml:space="preserve"> for Disabled Facilities Grants, which</w:t>
      </w:r>
      <w:r w:rsidR="004C7497" w:rsidRPr="000C4D64">
        <w:rPr>
          <w:rFonts w:cstheme="minorHAnsi"/>
          <w:bCs/>
          <w:iCs/>
        </w:rPr>
        <w:t xml:space="preserve"> is charged to capital expenditure</w:t>
      </w:r>
      <w:r w:rsidR="00A630A0" w:rsidRPr="000C4D64">
        <w:rPr>
          <w:rFonts w:cstheme="minorHAnsi"/>
          <w:bCs/>
          <w:iCs/>
        </w:rPr>
        <w:t xml:space="preserve"> amounting</w:t>
      </w:r>
      <w:r w:rsidR="000C4D64" w:rsidRPr="000C4D64">
        <w:rPr>
          <w:rFonts w:cstheme="minorHAnsi"/>
          <w:bCs/>
          <w:iCs/>
        </w:rPr>
        <w:t xml:space="preserve"> to</w:t>
      </w:r>
      <w:r w:rsidR="00A630A0" w:rsidRPr="000C4D64">
        <w:rPr>
          <w:rFonts w:cstheme="minorHAnsi"/>
          <w:bCs/>
          <w:iCs/>
        </w:rPr>
        <w:t xml:space="preserve"> </w:t>
      </w:r>
      <w:r w:rsidR="004C7497" w:rsidRPr="000C4D64">
        <w:rPr>
          <w:rFonts w:cstheme="minorHAnsi"/>
          <w:bCs/>
          <w:iCs/>
        </w:rPr>
        <w:t>£5</w:t>
      </w:r>
      <w:r w:rsidR="006B77FF" w:rsidRPr="000C4D64">
        <w:rPr>
          <w:rFonts w:cstheme="minorHAnsi"/>
          <w:bCs/>
          <w:iCs/>
        </w:rPr>
        <w:t>8</w:t>
      </w:r>
      <w:r w:rsidR="004C7497" w:rsidRPr="000C4D64">
        <w:rPr>
          <w:rFonts w:cstheme="minorHAnsi"/>
          <w:bCs/>
          <w:iCs/>
        </w:rPr>
        <w:t>k</w:t>
      </w:r>
      <w:r w:rsidR="000C4D64" w:rsidRPr="000C4D64">
        <w:rPr>
          <w:rFonts w:cstheme="minorHAnsi"/>
          <w:bCs/>
          <w:iCs/>
        </w:rPr>
        <w:t>.</w:t>
      </w:r>
    </w:p>
    <w:p w14:paraId="451BCFE5" w14:textId="77777777" w:rsidR="00C1261A" w:rsidRPr="00C1261A" w:rsidRDefault="00B96555" w:rsidP="00C1261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B70898">
        <w:rPr>
          <w:rFonts w:cstheme="minorHAnsi"/>
          <w:bCs/>
          <w:iCs/>
        </w:rPr>
        <w:t>The</w:t>
      </w:r>
      <w:r w:rsidR="00A630A0">
        <w:rPr>
          <w:rFonts w:cstheme="minorHAnsi"/>
          <w:bCs/>
          <w:iCs/>
        </w:rPr>
        <w:t xml:space="preserve"> remainder </w:t>
      </w:r>
      <w:r w:rsidR="00A7137B">
        <w:rPr>
          <w:rFonts w:cstheme="minorHAnsi"/>
          <w:bCs/>
          <w:iCs/>
        </w:rPr>
        <w:t xml:space="preserve">of the </w:t>
      </w:r>
      <w:r w:rsidR="00A630A0">
        <w:rPr>
          <w:rFonts w:cstheme="minorHAnsi"/>
          <w:bCs/>
          <w:iCs/>
        </w:rPr>
        <w:t>underspend relat</w:t>
      </w:r>
      <w:r w:rsidR="00A7137B">
        <w:rPr>
          <w:rFonts w:cstheme="minorHAnsi"/>
          <w:bCs/>
          <w:iCs/>
        </w:rPr>
        <w:t>es</w:t>
      </w:r>
      <w:r w:rsidR="00A630A0">
        <w:rPr>
          <w:rFonts w:cstheme="minorHAnsi"/>
          <w:bCs/>
          <w:iCs/>
        </w:rPr>
        <w:t xml:space="preserve"> to non-staffing.</w:t>
      </w:r>
    </w:p>
    <w:p w14:paraId="451BCFE6" w14:textId="77777777" w:rsidR="007815C3" w:rsidRPr="00541E07" w:rsidRDefault="007815C3" w:rsidP="007815C3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E7" w14:textId="77777777" w:rsidR="009D449E" w:rsidRPr="005406FE" w:rsidRDefault="00B96555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5406FE">
        <w:rPr>
          <w:rFonts w:cstheme="minorHAnsi"/>
          <w:b/>
          <w:bCs/>
          <w:iCs/>
        </w:rPr>
        <w:t xml:space="preserve">Customer and Digital – </w:t>
      </w:r>
      <w:r w:rsidR="00830E2D">
        <w:rPr>
          <w:rFonts w:cstheme="minorHAnsi"/>
          <w:b/>
          <w:bCs/>
          <w:iCs/>
        </w:rPr>
        <w:t>U</w:t>
      </w:r>
      <w:r w:rsidRPr="005406FE">
        <w:rPr>
          <w:rFonts w:cstheme="minorHAnsi"/>
          <w:b/>
          <w:bCs/>
          <w:iCs/>
        </w:rPr>
        <w:t>nderspend of £</w:t>
      </w:r>
      <w:r w:rsidR="0091189E" w:rsidRPr="005406FE">
        <w:rPr>
          <w:rFonts w:cstheme="minorHAnsi"/>
          <w:b/>
          <w:bCs/>
          <w:iCs/>
        </w:rPr>
        <w:t>31</w:t>
      </w:r>
      <w:r w:rsidR="00A7137B">
        <w:rPr>
          <w:rFonts w:cstheme="minorHAnsi"/>
          <w:b/>
          <w:bCs/>
          <w:iCs/>
        </w:rPr>
        <w:t>2</w:t>
      </w:r>
      <w:r w:rsidRPr="005406FE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</w:p>
    <w:p w14:paraId="451BCFE8" w14:textId="77777777" w:rsidR="00154DD4" w:rsidRDefault="00154DD4" w:rsidP="00154DD4">
      <w:pPr>
        <w:spacing w:after="0" w:line="240" w:lineRule="auto"/>
        <w:ind w:firstLine="360"/>
        <w:jc w:val="both"/>
        <w:rPr>
          <w:rFonts w:cstheme="minorHAnsi"/>
          <w:bCs/>
          <w:iCs/>
        </w:rPr>
      </w:pPr>
    </w:p>
    <w:p w14:paraId="451BCFE9" w14:textId="77777777" w:rsidR="00154DD4" w:rsidRPr="00154DD4" w:rsidRDefault="00B96555" w:rsidP="00154DD4">
      <w:pPr>
        <w:spacing w:after="0" w:line="240" w:lineRule="auto"/>
        <w:ind w:firstLine="360"/>
        <w:jc w:val="both"/>
        <w:rPr>
          <w:rFonts w:cstheme="minorHAnsi"/>
          <w:bCs/>
          <w:iCs/>
        </w:rPr>
      </w:pPr>
      <w:r w:rsidRPr="00154DD4">
        <w:rPr>
          <w:rFonts w:cstheme="minorHAnsi"/>
          <w:bCs/>
          <w:iCs/>
        </w:rPr>
        <w:t>The key variances to note are;</w:t>
      </w:r>
    </w:p>
    <w:p w14:paraId="451BCFEA" w14:textId="77777777" w:rsidR="00154DD4" w:rsidRDefault="00154DD4" w:rsidP="00154DD4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14:paraId="451BCFEB" w14:textId="77777777" w:rsidR="004F10AA" w:rsidRPr="0091189E" w:rsidRDefault="00B96555" w:rsidP="005E58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</w:t>
      </w:r>
      <w:r w:rsidR="0046245D">
        <w:rPr>
          <w:rFonts w:cstheme="minorHAnsi"/>
          <w:bCs/>
          <w:iCs/>
        </w:rPr>
        <w:t>£7</w:t>
      </w:r>
      <w:r w:rsidR="001A0CEA">
        <w:rPr>
          <w:rFonts w:cstheme="minorHAnsi"/>
          <w:bCs/>
          <w:iCs/>
        </w:rPr>
        <w:t>2</w:t>
      </w:r>
      <w:r w:rsidR="0046245D">
        <w:rPr>
          <w:rFonts w:cstheme="minorHAnsi"/>
          <w:bCs/>
          <w:iCs/>
        </w:rPr>
        <w:t xml:space="preserve">k </w:t>
      </w:r>
      <w:r w:rsidR="0046245D" w:rsidRPr="00A6455D">
        <w:t>reduction in staffing costs</w:t>
      </w:r>
      <w:r>
        <w:t xml:space="preserve"> is</w:t>
      </w:r>
      <w:r w:rsidR="0046245D" w:rsidRPr="00A6455D">
        <w:t xml:space="preserve"> predominantly due to a number of </w:t>
      </w:r>
      <w:r w:rsidR="00D43E5A">
        <w:t xml:space="preserve">vacant </w:t>
      </w:r>
      <w:r w:rsidR="0046245D" w:rsidRPr="00A6455D">
        <w:t>posts in the Customer Services</w:t>
      </w:r>
      <w:r w:rsidR="0046245D">
        <w:t>, Revenues and Benefits and Information Services</w:t>
      </w:r>
      <w:r w:rsidR="00472D5F">
        <w:t xml:space="preserve"> teams</w:t>
      </w:r>
      <w:r w:rsidR="0046245D" w:rsidRPr="00A6455D">
        <w:t xml:space="preserve">, </w:t>
      </w:r>
      <w:r w:rsidR="00CB6FDC">
        <w:t xml:space="preserve">as recruitment following </w:t>
      </w:r>
      <w:r w:rsidR="0046245D" w:rsidRPr="00A6455D">
        <w:t>the implementation of the Shared Services review</w:t>
      </w:r>
      <w:r w:rsidR="008324CA">
        <w:t xml:space="preserve"> continues. </w:t>
      </w:r>
      <w:r w:rsidR="0046245D" w:rsidRPr="00A6455D">
        <w:t xml:space="preserve"> This</w:t>
      </w:r>
      <w:r w:rsidR="008324CA">
        <w:t xml:space="preserve"> underspend</w:t>
      </w:r>
      <w:r w:rsidR="0046245D" w:rsidRPr="00A6455D">
        <w:t xml:space="preserve"> </w:t>
      </w:r>
      <w:r w:rsidR="00472D5F">
        <w:t>is net of the costs of restructure</w:t>
      </w:r>
      <w:r w:rsidR="0046245D" w:rsidRPr="00A6455D">
        <w:t xml:space="preserve"> within </w:t>
      </w:r>
      <w:r w:rsidR="00472D5F">
        <w:t>these teams</w:t>
      </w:r>
      <w:r w:rsidR="00154DD4">
        <w:t>,</w:t>
      </w:r>
      <w:r w:rsidR="008324CA">
        <w:t xml:space="preserve"> following approval </w:t>
      </w:r>
      <w:r w:rsidR="00472D5F">
        <w:t>of</w:t>
      </w:r>
      <w:r w:rsidR="008324CA">
        <w:t xml:space="preserve"> the review.</w:t>
      </w:r>
    </w:p>
    <w:p w14:paraId="451BCFEC" w14:textId="77777777" w:rsidR="00C2242D" w:rsidRPr="0091189E" w:rsidRDefault="00B96555" w:rsidP="005E583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cost of </w:t>
      </w:r>
      <w:r w:rsidR="00154DD4">
        <w:rPr>
          <w:rFonts w:cstheme="minorHAnsi"/>
          <w:bCs/>
          <w:iCs/>
        </w:rPr>
        <w:t>c</w:t>
      </w:r>
      <w:r w:rsidR="00F20220" w:rsidRPr="0091189E">
        <w:rPr>
          <w:rFonts w:cstheme="minorHAnsi"/>
          <w:bCs/>
          <w:iCs/>
        </w:rPr>
        <w:t xml:space="preserve">ouncil </w:t>
      </w:r>
      <w:r w:rsidR="00154DD4">
        <w:rPr>
          <w:rFonts w:cstheme="minorHAnsi"/>
          <w:bCs/>
          <w:iCs/>
        </w:rPr>
        <w:t>t</w:t>
      </w:r>
      <w:r w:rsidR="00F20220" w:rsidRPr="0091189E">
        <w:rPr>
          <w:rFonts w:cstheme="minorHAnsi"/>
          <w:bCs/>
          <w:iCs/>
        </w:rPr>
        <w:t xml:space="preserve">ax collection </w:t>
      </w:r>
      <w:r>
        <w:rPr>
          <w:rFonts w:cstheme="minorHAnsi"/>
          <w:bCs/>
          <w:iCs/>
        </w:rPr>
        <w:t xml:space="preserve">has </w:t>
      </w:r>
      <w:r w:rsidR="00F20220" w:rsidRPr="0091189E">
        <w:rPr>
          <w:rFonts w:cstheme="minorHAnsi"/>
          <w:bCs/>
          <w:iCs/>
        </w:rPr>
        <w:t>overspen</w:t>
      </w:r>
      <w:r w:rsidR="00154DD4">
        <w:rPr>
          <w:rFonts w:cstheme="minorHAnsi"/>
          <w:bCs/>
          <w:iCs/>
        </w:rPr>
        <w:t>t</w:t>
      </w:r>
      <w:r w:rsidR="00F20220" w:rsidRPr="0091189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against the budget by</w:t>
      </w:r>
      <w:r w:rsidR="00F20220" w:rsidRPr="0091189E">
        <w:rPr>
          <w:rFonts w:cstheme="minorHAnsi"/>
          <w:bCs/>
          <w:iCs/>
        </w:rPr>
        <w:t xml:space="preserve"> £86k</w:t>
      </w:r>
      <w:r>
        <w:rPr>
          <w:rFonts w:cstheme="minorHAnsi"/>
          <w:bCs/>
          <w:iCs/>
        </w:rPr>
        <w:t>,</w:t>
      </w:r>
      <w:r w:rsidR="00A33049">
        <w:rPr>
          <w:rFonts w:cstheme="minorHAnsi"/>
          <w:bCs/>
          <w:iCs/>
        </w:rPr>
        <w:t xml:space="preserve"> offset by</w:t>
      </w:r>
      <w:r w:rsidR="00F20220" w:rsidRPr="0091189E">
        <w:rPr>
          <w:rFonts w:cstheme="minorHAnsi"/>
          <w:bCs/>
          <w:iCs/>
        </w:rPr>
        <w:t xml:space="preserve"> </w:t>
      </w:r>
      <w:r w:rsidR="00D43E5A">
        <w:rPr>
          <w:rFonts w:cstheme="minorHAnsi"/>
          <w:bCs/>
          <w:iCs/>
        </w:rPr>
        <w:t xml:space="preserve">income from the </w:t>
      </w:r>
      <w:r w:rsidR="0091189E" w:rsidRPr="0091189E">
        <w:rPr>
          <w:rFonts w:cstheme="minorHAnsi"/>
          <w:bCs/>
          <w:iCs/>
        </w:rPr>
        <w:t xml:space="preserve">Housing </w:t>
      </w:r>
      <w:r w:rsidR="0091189E">
        <w:rPr>
          <w:rFonts w:cstheme="minorHAnsi"/>
          <w:bCs/>
          <w:iCs/>
        </w:rPr>
        <w:t>B</w:t>
      </w:r>
      <w:r w:rsidR="0091189E" w:rsidRPr="0091189E">
        <w:rPr>
          <w:rFonts w:cstheme="minorHAnsi"/>
          <w:bCs/>
          <w:iCs/>
        </w:rPr>
        <w:t xml:space="preserve">enefit </w:t>
      </w:r>
      <w:r>
        <w:rPr>
          <w:rFonts w:cstheme="minorHAnsi"/>
          <w:bCs/>
          <w:iCs/>
        </w:rPr>
        <w:t>A</w:t>
      </w:r>
      <w:r w:rsidR="0091189E" w:rsidRPr="0091189E">
        <w:rPr>
          <w:rFonts w:cstheme="minorHAnsi"/>
          <w:bCs/>
          <w:iCs/>
        </w:rPr>
        <w:t xml:space="preserve">dmin </w:t>
      </w:r>
      <w:r>
        <w:rPr>
          <w:rFonts w:cstheme="minorHAnsi"/>
          <w:bCs/>
          <w:iCs/>
        </w:rPr>
        <w:t>S</w:t>
      </w:r>
      <w:r w:rsidR="0091189E" w:rsidRPr="0091189E">
        <w:rPr>
          <w:rFonts w:cstheme="minorHAnsi"/>
          <w:bCs/>
          <w:iCs/>
        </w:rPr>
        <w:t xml:space="preserve">ubsidy </w:t>
      </w:r>
      <w:r w:rsidR="00D43E5A">
        <w:rPr>
          <w:rFonts w:cstheme="minorHAnsi"/>
          <w:bCs/>
          <w:iCs/>
        </w:rPr>
        <w:t xml:space="preserve">grant </w:t>
      </w:r>
      <w:r w:rsidR="0091189E" w:rsidRPr="0091189E">
        <w:rPr>
          <w:rFonts w:cstheme="minorHAnsi"/>
          <w:bCs/>
          <w:iCs/>
        </w:rPr>
        <w:t xml:space="preserve">of £58k </w:t>
      </w:r>
      <w:r w:rsidR="008324CA">
        <w:rPr>
          <w:rFonts w:cstheme="minorHAnsi"/>
          <w:bCs/>
          <w:iCs/>
        </w:rPr>
        <w:t>and</w:t>
      </w:r>
      <w:r w:rsidR="0091189E" w:rsidRPr="0091189E">
        <w:rPr>
          <w:rFonts w:cstheme="minorHAnsi"/>
          <w:bCs/>
          <w:iCs/>
        </w:rPr>
        <w:t xml:space="preserve"> a</w:t>
      </w:r>
      <w:r w:rsidR="00F20220" w:rsidRPr="0091189E">
        <w:rPr>
          <w:rFonts w:cstheme="minorHAnsi"/>
          <w:bCs/>
          <w:iCs/>
        </w:rPr>
        <w:t>dditional government grant for council tax support costs</w:t>
      </w:r>
      <w:r w:rsidR="008324CA">
        <w:rPr>
          <w:rFonts w:cstheme="minorHAnsi"/>
          <w:bCs/>
          <w:iCs/>
        </w:rPr>
        <w:t xml:space="preserve"> </w:t>
      </w:r>
      <w:r w:rsidR="00F20220" w:rsidRPr="0091189E">
        <w:rPr>
          <w:rFonts w:cstheme="minorHAnsi"/>
          <w:bCs/>
          <w:iCs/>
        </w:rPr>
        <w:t xml:space="preserve">of £132k </w:t>
      </w:r>
      <w:r>
        <w:rPr>
          <w:rFonts w:cstheme="minorHAnsi"/>
          <w:bCs/>
          <w:iCs/>
        </w:rPr>
        <w:t xml:space="preserve">which had </w:t>
      </w:r>
      <w:r w:rsidR="00F20220" w:rsidRPr="0091189E">
        <w:rPr>
          <w:rFonts w:cstheme="minorHAnsi"/>
          <w:bCs/>
          <w:iCs/>
        </w:rPr>
        <w:t xml:space="preserve">not </w:t>
      </w:r>
      <w:r>
        <w:rPr>
          <w:rFonts w:cstheme="minorHAnsi"/>
          <w:bCs/>
          <w:iCs/>
        </w:rPr>
        <w:t xml:space="preserve">been </w:t>
      </w:r>
      <w:r w:rsidR="00F20220" w:rsidRPr="0091189E">
        <w:rPr>
          <w:rFonts w:cstheme="minorHAnsi"/>
          <w:bCs/>
          <w:iCs/>
        </w:rPr>
        <w:t>budgeted</w:t>
      </w:r>
      <w:r w:rsidR="00D43E5A">
        <w:rPr>
          <w:rFonts w:cstheme="minorHAnsi"/>
          <w:bCs/>
          <w:iCs/>
        </w:rPr>
        <w:t xml:space="preserve"> for</w:t>
      </w:r>
      <w:r w:rsidR="008324CA">
        <w:rPr>
          <w:rFonts w:cstheme="minorHAnsi"/>
          <w:bCs/>
          <w:iCs/>
        </w:rPr>
        <w:t xml:space="preserve">. </w:t>
      </w:r>
    </w:p>
    <w:p w14:paraId="451BCFED" w14:textId="77777777" w:rsidR="004E5F92" w:rsidRPr="0091189E" w:rsidRDefault="00B96555" w:rsidP="004E5F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Additional </w:t>
      </w:r>
      <w:r w:rsidR="00F20220" w:rsidRPr="0091189E">
        <w:rPr>
          <w:rFonts w:cstheme="minorHAnsi"/>
          <w:bCs/>
          <w:iCs/>
        </w:rPr>
        <w:t xml:space="preserve">New Burdens grant income </w:t>
      </w:r>
      <w:r>
        <w:rPr>
          <w:rFonts w:cstheme="minorHAnsi"/>
          <w:bCs/>
          <w:iCs/>
        </w:rPr>
        <w:t xml:space="preserve">was also </w:t>
      </w:r>
      <w:r w:rsidR="00F20220" w:rsidRPr="0091189E">
        <w:rPr>
          <w:rFonts w:cstheme="minorHAnsi"/>
          <w:bCs/>
          <w:iCs/>
        </w:rPr>
        <w:t xml:space="preserve">received </w:t>
      </w:r>
      <w:r w:rsidR="00D43E5A">
        <w:rPr>
          <w:rFonts w:cstheme="minorHAnsi"/>
          <w:bCs/>
          <w:iCs/>
        </w:rPr>
        <w:t xml:space="preserve">during the year </w:t>
      </w:r>
      <w:r w:rsidR="00F20220" w:rsidRPr="0091189E">
        <w:rPr>
          <w:rFonts w:cstheme="minorHAnsi"/>
          <w:bCs/>
          <w:iCs/>
        </w:rPr>
        <w:t xml:space="preserve">of </w:t>
      </w:r>
      <w:r w:rsidR="00C7547B" w:rsidRPr="0091189E">
        <w:rPr>
          <w:rFonts w:cstheme="minorHAnsi"/>
          <w:bCs/>
          <w:iCs/>
        </w:rPr>
        <w:t>£6</w:t>
      </w:r>
      <w:r w:rsidR="0091189E" w:rsidRPr="0091189E">
        <w:rPr>
          <w:rFonts w:cstheme="minorHAnsi"/>
          <w:bCs/>
          <w:iCs/>
        </w:rPr>
        <w:t>4</w:t>
      </w:r>
      <w:r w:rsidR="00C7547B" w:rsidRPr="0091189E">
        <w:rPr>
          <w:rFonts w:cstheme="minorHAnsi"/>
          <w:bCs/>
          <w:iCs/>
        </w:rPr>
        <w:t>k</w:t>
      </w:r>
      <w:r w:rsidR="00D43E5A">
        <w:rPr>
          <w:rFonts w:cstheme="minorHAnsi"/>
          <w:bCs/>
          <w:iCs/>
        </w:rPr>
        <w:t>.</w:t>
      </w:r>
    </w:p>
    <w:p w14:paraId="451BCFEE" w14:textId="77777777" w:rsidR="0022275D" w:rsidRPr="00405A10" w:rsidRDefault="00B96555" w:rsidP="0022275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405A10">
        <w:rPr>
          <w:rFonts w:cstheme="minorHAnsi"/>
          <w:bCs/>
          <w:iCs/>
        </w:rPr>
        <w:t xml:space="preserve">The </w:t>
      </w:r>
      <w:r w:rsidRPr="00405A10">
        <w:rPr>
          <w:rFonts w:cstheme="minorHAnsi"/>
          <w:bCs/>
          <w:iCs/>
        </w:rPr>
        <w:t>Parks &amp; Neighbourhood budget</w:t>
      </w:r>
      <w:r w:rsidR="004E5F92">
        <w:rPr>
          <w:rFonts w:cstheme="minorHAnsi"/>
          <w:bCs/>
          <w:iCs/>
        </w:rPr>
        <w:t xml:space="preserve"> has an overall underspend of £32k</w:t>
      </w:r>
      <w:r w:rsidR="00154DD4">
        <w:rPr>
          <w:rFonts w:cstheme="minorHAnsi"/>
          <w:bCs/>
          <w:iCs/>
        </w:rPr>
        <w:t>,</w:t>
      </w:r>
      <w:r w:rsidR="004E5F92">
        <w:rPr>
          <w:rFonts w:cstheme="minorHAnsi"/>
          <w:bCs/>
          <w:iCs/>
        </w:rPr>
        <w:t xml:space="preserve"> of which £69k </w:t>
      </w:r>
      <w:r w:rsidR="00472D5F">
        <w:rPr>
          <w:rFonts w:cstheme="minorHAnsi"/>
          <w:bCs/>
          <w:iCs/>
        </w:rPr>
        <w:t xml:space="preserve">relates to an </w:t>
      </w:r>
      <w:r w:rsidR="004E5F92">
        <w:rPr>
          <w:rFonts w:cstheme="minorHAnsi"/>
          <w:bCs/>
          <w:iCs/>
        </w:rPr>
        <w:t xml:space="preserve">underspend </w:t>
      </w:r>
      <w:r w:rsidR="00472D5F">
        <w:rPr>
          <w:rFonts w:cstheme="minorHAnsi"/>
          <w:bCs/>
          <w:iCs/>
        </w:rPr>
        <w:t xml:space="preserve">on </w:t>
      </w:r>
      <w:r w:rsidR="004E5F92">
        <w:rPr>
          <w:rFonts w:cstheme="minorHAnsi"/>
          <w:bCs/>
          <w:iCs/>
        </w:rPr>
        <w:t>staffing</w:t>
      </w:r>
      <w:r w:rsidR="00472D5F">
        <w:rPr>
          <w:rFonts w:cstheme="minorHAnsi"/>
          <w:bCs/>
          <w:iCs/>
        </w:rPr>
        <w:t xml:space="preserve"> costs, offset by </w:t>
      </w:r>
      <w:r w:rsidRPr="00405A10">
        <w:rPr>
          <w:rFonts w:cstheme="minorHAnsi"/>
          <w:bCs/>
          <w:iCs/>
        </w:rPr>
        <w:t>overspend</w:t>
      </w:r>
      <w:r w:rsidR="00472D5F">
        <w:rPr>
          <w:rFonts w:cstheme="minorHAnsi"/>
          <w:bCs/>
          <w:iCs/>
        </w:rPr>
        <w:t>s</w:t>
      </w:r>
      <w:r w:rsidRPr="00405A10">
        <w:rPr>
          <w:rFonts w:cstheme="minorHAnsi"/>
          <w:bCs/>
          <w:iCs/>
        </w:rPr>
        <w:t xml:space="preserve"> </w:t>
      </w:r>
      <w:r w:rsidR="00472D5F">
        <w:rPr>
          <w:rFonts w:cstheme="minorHAnsi"/>
          <w:bCs/>
          <w:iCs/>
        </w:rPr>
        <w:t>across various budgeted lines of expenditure.</w:t>
      </w:r>
    </w:p>
    <w:p w14:paraId="451BCFEF" w14:textId="77777777" w:rsidR="00C319D5" w:rsidRPr="00B14238" w:rsidRDefault="00B96555" w:rsidP="0022275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B14238">
        <w:rPr>
          <w:rFonts w:cstheme="minorHAnsi"/>
          <w:bCs/>
          <w:iCs/>
        </w:rPr>
        <w:t xml:space="preserve">Transport has an </w:t>
      </w:r>
      <w:r w:rsidR="00AB3A84">
        <w:rPr>
          <w:rFonts w:cstheme="minorHAnsi"/>
          <w:bCs/>
          <w:iCs/>
        </w:rPr>
        <w:t xml:space="preserve">overall overspend of £32k </w:t>
      </w:r>
      <w:r w:rsidR="00472D5F">
        <w:rPr>
          <w:rFonts w:cstheme="minorHAnsi"/>
          <w:bCs/>
          <w:iCs/>
        </w:rPr>
        <w:t xml:space="preserve">reflecting </w:t>
      </w:r>
      <w:r w:rsidR="00AB3A84">
        <w:rPr>
          <w:rFonts w:cstheme="minorHAnsi"/>
          <w:bCs/>
          <w:iCs/>
        </w:rPr>
        <w:t xml:space="preserve">increased </w:t>
      </w:r>
      <w:r w:rsidR="00C806EA" w:rsidRPr="00B14238">
        <w:rPr>
          <w:rFonts w:cstheme="minorHAnsi"/>
          <w:bCs/>
          <w:iCs/>
        </w:rPr>
        <w:t xml:space="preserve">fuel </w:t>
      </w:r>
      <w:r w:rsidR="00405A10" w:rsidRPr="00B14238">
        <w:rPr>
          <w:rFonts w:cstheme="minorHAnsi"/>
          <w:bCs/>
          <w:iCs/>
        </w:rPr>
        <w:t>cost</w:t>
      </w:r>
      <w:r w:rsidR="00D43E5A">
        <w:rPr>
          <w:rFonts w:cstheme="minorHAnsi"/>
          <w:bCs/>
          <w:iCs/>
        </w:rPr>
        <w:t>s</w:t>
      </w:r>
      <w:r w:rsidR="00AB3A84">
        <w:rPr>
          <w:rFonts w:cstheme="minorHAnsi"/>
          <w:bCs/>
          <w:iCs/>
        </w:rPr>
        <w:t xml:space="preserve"> of £26k</w:t>
      </w:r>
      <w:r w:rsidR="00341BBD" w:rsidRPr="00B14238">
        <w:rPr>
          <w:rFonts w:cstheme="minorHAnsi"/>
          <w:bCs/>
          <w:iCs/>
        </w:rPr>
        <w:t xml:space="preserve"> and </w:t>
      </w:r>
      <w:r w:rsidR="00A33BBC" w:rsidRPr="00B14238">
        <w:rPr>
          <w:rFonts w:cstheme="minorHAnsi"/>
          <w:bCs/>
          <w:iCs/>
        </w:rPr>
        <w:t xml:space="preserve">a </w:t>
      </w:r>
      <w:r w:rsidR="00341BBD" w:rsidRPr="00B14238">
        <w:rPr>
          <w:rFonts w:cstheme="minorHAnsi"/>
          <w:bCs/>
          <w:iCs/>
        </w:rPr>
        <w:t>reduction in parking income of £7</w:t>
      </w:r>
      <w:r w:rsidR="00405A10" w:rsidRPr="00B14238">
        <w:rPr>
          <w:rFonts w:cstheme="minorHAnsi"/>
          <w:bCs/>
          <w:iCs/>
        </w:rPr>
        <w:t>0</w:t>
      </w:r>
      <w:r w:rsidR="00341BBD" w:rsidRPr="00B14238">
        <w:rPr>
          <w:rFonts w:cstheme="minorHAnsi"/>
          <w:bCs/>
          <w:iCs/>
        </w:rPr>
        <w:t>k,</w:t>
      </w:r>
      <w:r w:rsidR="00C806EA" w:rsidRPr="00B14238">
        <w:rPr>
          <w:rFonts w:cstheme="minorHAnsi"/>
          <w:bCs/>
          <w:iCs/>
        </w:rPr>
        <w:t xml:space="preserve"> partly offset by </w:t>
      </w:r>
      <w:r w:rsidR="00405A10" w:rsidRPr="00B14238">
        <w:rPr>
          <w:rFonts w:cstheme="minorHAnsi"/>
          <w:bCs/>
          <w:iCs/>
        </w:rPr>
        <w:t xml:space="preserve">underspends </w:t>
      </w:r>
      <w:r w:rsidR="00472D5F">
        <w:rPr>
          <w:rFonts w:cstheme="minorHAnsi"/>
          <w:bCs/>
          <w:iCs/>
        </w:rPr>
        <w:t>on</w:t>
      </w:r>
      <w:r w:rsidR="00405A10" w:rsidRPr="00B14238">
        <w:rPr>
          <w:rFonts w:cstheme="minorHAnsi"/>
          <w:bCs/>
          <w:iCs/>
        </w:rPr>
        <w:t xml:space="preserve"> car park</w:t>
      </w:r>
      <w:r w:rsidR="00B14238" w:rsidRPr="00B14238">
        <w:rPr>
          <w:rFonts w:cstheme="minorHAnsi"/>
          <w:bCs/>
          <w:iCs/>
        </w:rPr>
        <w:t xml:space="preserve"> and</w:t>
      </w:r>
      <w:r w:rsidR="00C806EA" w:rsidRPr="00B14238">
        <w:rPr>
          <w:rFonts w:cstheme="minorHAnsi"/>
          <w:bCs/>
          <w:iCs/>
        </w:rPr>
        <w:t xml:space="preserve"> vehicle maintenance</w:t>
      </w:r>
      <w:r w:rsidRPr="00B14238">
        <w:rPr>
          <w:rFonts w:cstheme="minorHAnsi"/>
          <w:bCs/>
          <w:iCs/>
        </w:rPr>
        <w:t xml:space="preserve"> </w:t>
      </w:r>
      <w:r w:rsidR="00472D5F">
        <w:rPr>
          <w:rFonts w:cstheme="minorHAnsi"/>
          <w:bCs/>
          <w:iCs/>
        </w:rPr>
        <w:t xml:space="preserve">budgets </w:t>
      </w:r>
      <w:r w:rsidR="00C806EA" w:rsidRPr="00B14238">
        <w:rPr>
          <w:rFonts w:cstheme="minorHAnsi"/>
          <w:bCs/>
          <w:iCs/>
        </w:rPr>
        <w:t>of</w:t>
      </w:r>
      <w:r w:rsidRPr="00B14238">
        <w:rPr>
          <w:rFonts w:cstheme="minorHAnsi"/>
          <w:bCs/>
          <w:iCs/>
        </w:rPr>
        <w:t xml:space="preserve"> £</w:t>
      </w:r>
      <w:r w:rsidR="00405A10" w:rsidRPr="00B14238">
        <w:rPr>
          <w:rFonts w:cstheme="minorHAnsi"/>
          <w:bCs/>
          <w:iCs/>
        </w:rPr>
        <w:t>6</w:t>
      </w:r>
      <w:r w:rsidR="00AB3A84">
        <w:rPr>
          <w:rFonts w:cstheme="minorHAnsi"/>
          <w:bCs/>
          <w:iCs/>
        </w:rPr>
        <w:t>4</w:t>
      </w:r>
      <w:r w:rsidRPr="00B14238">
        <w:rPr>
          <w:rFonts w:cstheme="minorHAnsi"/>
          <w:bCs/>
          <w:iCs/>
        </w:rPr>
        <w:t>k</w:t>
      </w:r>
      <w:r w:rsidR="00AB3A84">
        <w:rPr>
          <w:rFonts w:cstheme="minorHAnsi"/>
          <w:bCs/>
          <w:iCs/>
        </w:rPr>
        <w:t>.</w:t>
      </w:r>
    </w:p>
    <w:p w14:paraId="451BCFF0" w14:textId="77777777" w:rsidR="00A33049" w:rsidRDefault="00B96555" w:rsidP="00EA6DC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AB3A84">
        <w:rPr>
          <w:rFonts w:cstheme="minorHAnsi"/>
          <w:bCs/>
          <w:iCs/>
        </w:rPr>
        <w:t>Waste</w:t>
      </w:r>
      <w:r w:rsidR="00C806EA" w:rsidRPr="00AB3A84">
        <w:rPr>
          <w:rFonts w:cstheme="minorHAnsi"/>
          <w:bCs/>
          <w:iCs/>
        </w:rPr>
        <w:t xml:space="preserve"> Management has</w:t>
      </w:r>
      <w:r w:rsidRPr="00AB3A84">
        <w:rPr>
          <w:rFonts w:cstheme="minorHAnsi"/>
          <w:bCs/>
          <w:iCs/>
        </w:rPr>
        <w:t xml:space="preserve"> </w:t>
      </w:r>
      <w:r w:rsidR="00C806EA" w:rsidRPr="00AB3A84">
        <w:rPr>
          <w:rFonts w:cstheme="minorHAnsi"/>
          <w:bCs/>
          <w:iCs/>
        </w:rPr>
        <w:t>an</w:t>
      </w:r>
      <w:r w:rsidR="00AB3A84" w:rsidRPr="00AB3A84">
        <w:rPr>
          <w:rFonts w:cstheme="minorHAnsi"/>
          <w:bCs/>
          <w:iCs/>
        </w:rPr>
        <w:t xml:space="preserve"> overall</w:t>
      </w:r>
      <w:r w:rsidR="00C806EA" w:rsidRPr="00AB3A84">
        <w:rPr>
          <w:rFonts w:cstheme="minorHAnsi"/>
          <w:bCs/>
          <w:iCs/>
        </w:rPr>
        <w:t xml:space="preserve"> </w:t>
      </w:r>
      <w:r w:rsidR="00366F0A" w:rsidRPr="00AB3A84">
        <w:rPr>
          <w:rFonts w:cstheme="minorHAnsi"/>
          <w:bCs/>
          <w:iCs/>
        </w:rPr>
        <w:t xml:space="preserve">underspend £46k </w:t>
      </w:r>
      <w:r w:rsidR="00AB3A84" w:rsidRPr="00AB3A84">
        <w:rPr>
          <w:rFonts w:cstheme="minorHAnsi"/>
          <w:bCs/>
          <w:iCs/>
        </w:rPr>
        <w:t xml:space="preserve">which comprises </w:t>
      </w:r>
      <w:r w:rsidR="00154DD4">
        <w:rPr>
          <w:rFonts w:cstheme="minorHAnsi"/>
          <w:bCs/>
          <w:iCs/>
        </w:rPr>
        <w:t xml:space="preserve">of </w:t>
      </w:r>
      <w:r w:rsidR="007C6502">
        <w:rPr>
          <w:rFonts w:cstheme="minorHAnsi"/>
          <w:bCs/>
          <w:iCs/>
        </w:rPr>
        <w:t>a</w:t>
      </w:r>
      <w:r w:rsidR="00AB3A84" w:rsidRPr="00AB3A84">
        <w:rPr>
          <w:rFonts w:cstheme="minorHAnsi"/>
          <w:bCs/>
          <w:iCs/>
        </w:rPr>
        <w:t xml:space="preserve"> staffing overspend of £22k,</w:t>
      </w:r>
      <w:r w:rsidR="00C806EA" w:rsidRPr="00AB3A84">
        <w:rPr>
          <w:rFonts w:cstheme="minorHAnsi"/>
          <w:bCs/>
          <w:iCs/>
        </w:rPr>
        <w:t xml:space="preserve"> </w:t>
      </w:r>
      <w:r w:rsidR="007C6502">
        <w:rPr>
          <w:rFonts w:cstheme="minorHAnsi"/>
          <w:bCs/>
          <w:iCs/>
        </w:rPr>
        <w:t>a</w:t>
      </w:r>
      <w:r w:rsidR="00154DD4">
        <w:rPr>
          <w:rFonts w:cstheme="minorHAnsi"/>
          <w:bCs/>
          <w:iCs/>
        </w:rPr>
        <w:t>n</w:t>
      </w:r>
      <w:r w:rsidR="007C6502">
        <w:rPr>
          <w:rFonts w:cstheme="minorHAnsi"/>
          <w:bCs/>
          <w:iCs/>
        </w:rPr>
        <w:t xml:space="preserve"> </w:t>
      </w:r>
      <w:r w:rsidR="00154DD4">
        <w:rPr>
          <w:rFonts w:cstheme="minorHAnsi"/>
          <w:bCs/>
          <w:iCs/>
        </w:rPr>
        <w:t xml:space="preserve">overspend of </w:t>
      </w:r>
      <w:r w:rsidRPr="00AB3A84">
        <w:rPr>
          <w:rFonts w:cstheme="minorHAnsi"/>
          <w:bCs/>
          <w:iCs/>
        </w:rPr>
        <w:t>£</w:t>
      </w:r>
      <w:r w:rsidR="00B14238" w:rsidRPr="00AB3A84">
        <w:rPr>
          <w:rFonts w:cstheme="minorHAnsi"/>
          <w:bCs/>
          <w:iCs/>
        </w:rPr>
        <w:t>85</w:t>
      </w:r>
      <w:r w:rsidRPr="00AB3A84">
        <w:rPr>
          <w:rFonts w:cstheme="minorHAnsi"/>
          <w:bCs/>
          <w:iCs/>
        </w:rPr>
        <w:t xml:space="preserve">k </w:t>
      </w:r>
      <w:r w:rsidR="00D43E5A">
        <w:rPr>
          <w:rFonts w:cstheme="minorHAnsi"/>
          <w:bCs/>
          <w:iCs/>
        </w:rPr>
        <w:t xml:space="preserve">in respect of </w:t>
      </w:r>
      <w:r w:rsidR="007C6502">
        <w:rPr>
          <w:rFonts w:cstheme="minorHAnsi"/>
          <w:bCs/>
          <w:iCs/>
        </w:rPr>
        <w:t xml:space="preserve">increased </w:t>
      </w:r>
      <w:r w:rsidR="00316D94">
        <w:rPr>
          <w:rFonts w:cstheme="minorHAnsi"/>
          <w:bCs/>
          <w:iCs/>
        </w:rPr>
        <w:t xml:space="preserve">contract </w:t>
      </w:r>
      <w:r w:rsidR="007C6502">
        <w:rPr>
          <w:rFonts w:cstheme="minorHAnsi"/>
          <w:bCs/>
          <w:iCs/>
        </w:rPr>
        <w:t xml:space="preserve">costs </w:t>
      </w:r>
      <w:r w:rsidR="00316D94">
        <w:rPr>
          <w:rFonts w:cstheme="minorHAnsi"/>
          <w:bCs/>
          <w:iCs/>
        </w:rPr>
        <w:t>during the year</w:t>
      </w:r>
      <w:r w:rsidR="00154DD4">
        <w:rPr>
          <w:rFonts w:cstheme="minorHAnsi"/>
          <w:bCs/>
          <w:iCs/>
        </w:rPr>
        <w:t xml:space="preserve">, </w:t>
      </w:r>
      <w:r w:rsidR="00316D94">
        <w:rPr>
          <w:rFonts w:cstheme="minorHAnsi"/>
          <w:bCs/>
          <w:iCs/>
        </w:rPr>
        <w:t xml:space="preserve">both of which </w:t>
      </w:r>
      <w:r w:rsidR="00154DD4">
        <w:rPr>
          <w:rFonts w:cstheme="minorHAnsi"/>
          <w:bCs/>
          <w:iCs/>
        </w:rPr>
        <w:t>are offset by an in</w:t>
      </w:r>
      <w:r w:rsidR="00366F0A" w:rsidRPr="00AB3A84">
        <w:rPr>
          <w:rFonts w:cstheme="minorHAnsi"/>
          <w:bCs/>
          <w:iCs/>
        </w:rPr>
        <w:t xml:space="preserve">crease in bulky waste and garden waste income and other underspends </w:t>
      </w:r>
      <w:r w:rsidR="00154DD4">
        <w:rPr>
          <w:rFonts w:cstheme="minorHAnsi"/>
          <w:bCs/>
          <w:iCs/>
        </w:rPr>
        <w:t xml:space="preserve">in total amounting to </w:t>
      </w:r>
      <w:r w:rsidR="00366F0A" w:rsidRPr="00AB3A84">
        <w:rPr>
          <w:rFonts w:cstheme="minorHAnsi"/>
          <w:bCs/>
          <w:iCs/>
        </w:rPr>
        <w:t>£153k</w:t>
      </w:r>
      <w:r w:rsidR="00AB3A84" w:rsidRPr="00AB3A84">
        <w:rPr>
          <w:rFonts w:cstheme="minorHAnsi"/>
          <w:bCs/>
          <w:iCs/>
        </w:rPr>
        <w:t>.</w:t>
      </w:r>
    </w:p>
    <w:p w14:paraId="451BCFF1" w14:textId="77777777" w:rsidR="00A33049" w:rsidRDefault="00B96555" w:rsidP="00EA6DC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remaining underspend is relating to non-staffing.</w:t>
      </w:r>
    </w:p>
    <w:p w14:paraId="451BCFF2" w14:textId="77777777" w:rsidR="00C319D5" w:rsidRPr="00AB3A84" w:rsidRDefault="00C319D5" w:rsidP="00A33049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14:paraId="451BCFF3" w14:textId="77777777" w:rsidR="007815C3" w:rsidRPr="00541E07" w:rsidRDefault="007815C3" w:rsidP="007815C3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F4" w14:textId="77777777" w:rsidR="009D449E" w:rsidRPr="005406FE" w:rsidRDefault="00B96555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5406FE">
        <w:rPr>
          <w:rFonts w:cstheme="minorHAnsi"/>
          <w:b/>
          <w:bCs/>
          <w:iCs/>
        </w:rPr>
        <w:t xml:space="preserve">Governance – </w:t>
      </w:r>
      <w:r w:rsidR="00830E2D">
        <w:rPr>
          <w:rFonts w:cstheme="minorHAnsi"/>
          <w:b/>
          <w:bCs/>
          <w:iCs/>
        </w:rPr>
        <w:t>U</w:t>
      </w:r>
      <w:r w:rsidR="00693206" w:rsidRPr="005406FE">
        <w:rPr>
          <w:rFonts w:cstheme="minorHAnsi"/>
          <w:b/>
          <w:bCs/>
          <w:iCs/>
        </w:rPr>
        <w:t xml:space="preserve">nderspend </w:t>
      </w:r>
      <w:r w:rsidRPr="005406FE">
        <w:rPr>
          <w:rFonts w:cstheme="minorHAnsi"/>
          <w:b/>
          <w:bCs/>
          <w:iCs/>
        </w:rPr>
        <w:t>of £</w:t>
      </w:r>
      <w:r w:rsidR="00AB4F95">
        <w:rPr>
          <w:rFonts w:cstheme="minorHAnsi"/>
          <w:b/>
          <w:bCs/>
          <w:iCs/>
        </w:rPr>
        <w:t>90</w:t>
      </w:r>
      <w:r w:rsidRPr="005406FE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</w:p>
    <w:p w14:paraId="451BCFF5" w14:textId="77777777" w:rsidR="00154DD4" w:rsidRDefault="00154DD4" w:rsidP="00154DD4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14:paraId="451BCFF6" w14:textId="77777777" w:rsidR="005406FE" w:rsidRPr="005406FE" w:rsidRDefault="00B96555" w:rsidP="005406F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5406FE">
        <w:rPr>
          <w:rFonts w:cstheme="minorHAnsi"/>
          <w:bCs/>
          <w:iCs/>
        </w:rPr>
        <w:t xml:space="preserve">The underspend relates mainly to </w:t>
      </w:r>
      <w:r w:rsidR="00C62B30" w:rsidRPr="005406FE">
        <w:rPr>
          <w:rFonts w:cstheme="minorHAnsi"/>
          <w:bCs/>
          <w:iCs/>
        </w:rPr>
        <w:t xml:space="preserve">underspends on </w:t>
      </w:r>
      <w:r w:rsidR="00801F57" w:rsidRPr="005406FE">
        <w:rPr>
          <w:rFonts w:cstheme="minorHAnsi"/>
          <w:bCs/>
          <w:iCs/>
        </w:rPr>
        <w:t>staffing cost</w:t>
      </w:r>
      <w:r w:rsidR="00C62B30" w:rsidRPr="005406FE">
        <w:rPr>
          <w:rFonts w:cstheme="minorHAnsi"/>
          <w:bCs/>
          <w:iCs/>
        </w:rPr>
        <w:t>s</w:t>
      </w:r>
      <w:r w:rsidR="00F17172">
        <w:rPr>
          <w:rFonts w:cstheme="minorHAnsi"/>
          <w:bCs/>
          <w:iCs/>
        </w:rPr>
        <w:t xml:space="preserve"> </w:t>
      </w:r>
    </w:p>
    <w:p w14:paraId="451BCFF7" w14:textId="77777777" w:rsidR="00925937" w:rsidRPr="00541E07" w:rsidRDefault="00925937" w:rsidP="007815C3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CFF8" w14:textId="77777777" w:rsidR="009D449E" w:rsidRPr="005F529A" w:rsidRDefault="00B96555" w:rsidP="009D449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5F529A">
        <w:rPr>
          <w:rFonts w:cstheme="minorHAnsi"/>
          <w:b/>
          <w:bCs/>
          <w:iCs/>
        </w:rPr>
        <w:t xml:space="preserve">Planning and Development – </w:t>
      </w:r>
      <w:r w:rsidR="00830E2D">
        <w:rPr>
          <w:rFonts w:cstheme="minorHAnsi"/>
          <w:b/>
          <w:bCs/>
          <w:iCs/>
        </w:rPr>
        <w:t>U</w:t>
      </w:r>
      <w:r w:rsidRPr="005F529A">
        <w:rPr>
          <w:rFonts w:cstheme="minorHAnsi"/>
          <w:b/>
          <w:bCs/>
          <w:iCs/>
        </w:rPr>
        <w:t>nderspend of £</w:t>
      </w:r>
      <w:r w:rsidR="005F529A" w:rsidRPr="005F529A">
        <w:rPr>
          <w:rFonts w:cstheme="minorHAnsi"/>
          <w:b/>
          <w:bCs/>
          <w:iCs/>
        </w:rPr>
        <w:t>649</w:t>
      </w:r>
      <w:r w:rsidRPr="005F529A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  <w:r w:rsidRPr="005F529A">
        <w:rPr>
          <w:rFonts w:cstheme="minorHAnsi"/>
          <w:b/>
          <w:bCs/>
          <w:iCs/>
        </w:rPr>
        <w:t xml:space="preserve"> </w:t>
      </w:r>
    </w:p>
    <w:p w14:paraId="451BCFF9" w14:textId="77777777" w:rsidR="00232655" w:rsidRDefault="00232655" w:rsidP="00232655">
      <w:pPr>
        <w:spacing w:after="0" w:line="240" w:lineRule="auto"/>
        <w:ind w:left="360"/>
        <w:jc w:val="both"/>
        <w:rPr>
          <w:rFonts w:cstheme="minorHAnsi"/>
          <w:b/>
          <w:bCs/>
          <w:iCs/>
        </w:rPr>
      </w:pPr>
    </w:p>
    <w:p w14:paraId="451BCFFA" w14:textId="77777777" w:rsidR="00905A7C" w:rsidRDefault="00B96555" w:rsidP="00232655">
      <w:pPr>
        <w:spacing w:after="0" w:line="240" w:lineRule="auto"/>
        <w:ind w:left="360"/>
        <w:jc w:val="both"/>
        <w:rPr>
          <w:rFonts w:cstheme="minorHAnsi"/>
          <w:iCs/>
        </w:rPr>
      </w:pPr>
      <w:r w:rsidRPr="00905A7C">
        <w:rPr>
          <w:rFonts w:cstheme="minorHAnsi"/>
          <w:iCs/>
        </w:rPr>
        <w:t>The key variances comprise;</w:t>
      </w:r>
    </w:p>
    <w:p w14:paraId="451BCFFB" w14:textId="77777777" w:rsidR="00354F97" w:rsidRPr="00905A7C" w:rsidRDefault="00354F97" w:rsidP="00232655">
      <w:pPr>
        <w:spacing w:after="0" w:line="240" w:lineRule="auto"/>
        <w:ind w:left="360"/>
        <w:jc w:val="both"/>
        <w:rPr>
          <w:rFonts w:cstheme="minorHAnsi"/>
          <w:iCs/>
        </w:rPr>
      </w:pPr>
    </w:p>
    <w:p w14:paraId="451BCFFC" w14:textId="77777777" w:rsidR="00232655" w:rsidRPr="005F529A" w:rsidRDefault="00B96555" w:rsidP="0023265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5F529A">
        <w:rPr>
          <w:rFonts w:cstheme="minorHAnsi"/>
          <w:bCs/>
          <w:iCs/>
        </w:rPr>
        <w:t>Increase</w:t>
      </w:r>
      <w:r w:rsidR="00A33049">
        <w:rPr>
          <w:rFonts w:cstheme="minorHAnsi"/>
          <w:bCs/>
          <w:iCs/>
        </w:rPr>
        <w:t>d</w:t>
      </w:r>
      <w:r w:rsidRPr="005F529A">
        <w:rPr>
          <w:rFonts w:cstheme="minorHAnsi"/>
          <w:bCs/>
          <w:iCs/>
        </w:rPr>
        <w:t xml:space="preserve"> building control fee</w:t>
      </w:r>
      <w:r w:rsidR="00905A7C">
        <w:rPr>
          <w:rFonts w:cstheme="minorHAnsi"/>
          <w:bCs/>
          <w:iCs/>
        </w:rPr>
        <w:t>s</w:t>
      </w:r>
      <w:r w:rsidRPr="005F529A">
        <w:rPr>
          <w:rFonts w:cstheme="minorHAnsi"/>
          <w:bCs/>
          <w:iCs/>
        </w:rPr>
        <w:t xml:space="preserve"> has resulted in an underspend of £2</w:t>
      </w:r>
      <w:r w:rsidR="0018643D" w:rsidRPr="005F529A">
        <w:rPr>
          <w:rFonts w:cstheme="minorHAnsi"/>
          <w:bCs/>
          <w:iCs/>
        </w:rPr>
        <w:t>5</w:t>
      </w:r>
      <w:r w:rsidRPr="005F529A">
        <w:rPr>
          <w:rFonts w:cstheme="minorHAnsi"/>
          <w:bCs/>
          <w:iCs/>
        </w:rPr>
        <w:t xml:space="preserve">k. </w:t>
      </w:r>
    </w:p>
    <w:p w14:paraId="451BCFFD" w14:textId="77777777" w:rsidR="00DD3583" w:rsidRDefault="00B96555" w:rsidP="006E54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Following a number of large receipts late in the year, the </w:t>
      </w:r>
      <w:r w:rsidR="00F20220" w:rsidRPr="005F529A">
        <w:rPr>
          <w:rFonts w:cstheme="minorHAnsi"/>
          <w:bCs/>
          <w:iCs/>
        </w:rPr>
        <w:t xml:space="preserve">Planning fee income </w:t>
      </w:r>
      <w:r>
        <w:rPr>
          <w:rFonts w:cstheme="minorHAnsi"/>
          <w:bCs/>
          <w:iCs/>
        </w:rPr>
        <w:t xml:space="preserve">budget </w:t>
      </w:r>
      <w:r w:rsidR="00F20220" w:rsidRPr="005F529A">
        <w:rPr>
          <w:rFonts w:cstheme="minorHAnsi"/>
          <w:bCs/>
          <w:iCs/>
        </w:rPr>
        <w:t>is in surplus by £</w:t>
      </w:r>
      <w:r w:rsidR="00555C2F" w:rsidRPr="005F529A">
        <w:rPr>
          <w:rFonts w:cstheme="minorHAnsi"/>
          <w:bCs/>
          <w:iCs/>
        </w:rPr>
        <w:t>302</w:t>
      </w:r>
      <w:r w:rsidR="00F20220" w:rsidRPr="005F529A">
        <w:rPr>
          <w:rFonts w:cstheme="minorHAnsi"/>
          <w:bCs/>
          <w:iCs/>
        </w:rPr>
        <w:t>k</w:t>
      </w:r>
      <w:r>
        <w:rPr>
          <w:rFonts w:cstheme="minorHAnsi"/>
          <w:bCs/>
          <w:iCs/>
        </w:rPr>
        <w:t>.</w:t>
      </w:r>
    </w:p>
    <w:p w14:paraId="451BCFFE" w14:textId="77777777" w:rsidR="00DD3583" w:rsidRDefault="00B96555" w:rsidP="006E54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£50k overspend on Consultancy and legal fees</w:t>
      </w:r>
      <w:r w:rsidR="00905A7C">
        <w:rPr>
          <w:rFonts w:cstheme="minorHAnsi"/>
          <w:bCs/>
          <w:iCs/>
        </w:rPr>
        <w:t xml:space="preserve"> have been</w:t>
      </w:r>
      <w:r w:rsidR="00A9451B">
        <w:rPr>
          <w:rFonts w:cstheme="minorHAnsi"/>
          <w:bCs/>
          <w:iCs/>
        </w:rPr>
        <w:t xml:space="preserve"> offset by </w:t>
      </w:r>
      <w:r w:rsidR="00316D94">
        <w:rPr>
          <w:rFonts w:cstheme="minorHAnsi"/>
          <w:bCs/>
          <w:iCs/>
        </w:rPr>
        <w:t xml:space="preserve">a </w:t>
      </w:r>
      <w:r w:rsidR="00A9451B">
        <w:rPr>
          <w:rFonts w:cstheme="minorHAnsi"/>
          <w:bCs/>
          <w:iCs/>
        </w:rPr>
        <w:t xml:space="preserve">£20k reduction in advertising costs. </w:t>
      </w:r>
    </w:p>
    <w:p w14:paraId="451BCFFF" w14:textId="77777777" w:rsidR="007815C3" w:rsidRPr="005F529A" w:rsidRDefault="00B96555" w:rsidP="006E546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5F529A">
        <w:rPr>
          <w:rFonts w:cstheme="minorHAnsi"/>
          <w:bCs/>
          <w:iCs/>
        </w:rPr>
        <w:lastRenderedPageBreak/>
        <w:t xml:space="preserve">There is additional CIL admin income of £231k within </w:t>
      </w:r>
      <w:r w:rsidR="00905A7C">
        <w:rPr>
          <w:rFonts w:cstheme="minorHAnsi"/>
          <w:bCs/>
          <w:iCs/>
        </w:rPr>
        <w:t xml:space="preserve">the </w:t>
      </w:r>
      <w:r w:rsidRPr="005F529A">
        <w:rPr>
          <w:rFonts w:cstheme="minorHAnsi"/>
          <w:bCs/>
          <w:iCs/>
        </w:rPr>
        <w:t xml:space="preserve">Development </w:t>
      </w:r>
      <w:r w:rsidR="00905A7C">
        <w:rPr>
          <w:rFonts w:cstheme="minorHAnsi"/>
          <w:bCs/>
          <w:iCs/>
        </w:rPr>
        <w:t>C</w:t>
      </w:r>
      <w:r w:rsidRPr="005F529A">
        <w:rPr>
          <w:rFonts w:cstheme="minorHAnsi"/>
          <w:bCs/>
          <w:iCs/>
        </w:rPr>
        <w:t>ontrol</w:t>
      </w:r>
      <w:r w:rsidR="00DD3583">
        <w:rPr>
          <w:rFonts w:cstheme="minorHAnsi"/>
          <w:bCs/>
          <w:iCs/>
        </w:rPr>
        <w:t xml:space="preserve"> </w:t>
      </w:r>
      <w:r w:rsidR="00905A7C">
        <w:rPr>
          <w:rFonts w:cstheme="minorHAnsi"/>
          <w:bCs/>
          <w:iCs/>
        </w:rPr>
        <w:t xml:space="preserve">budget </w:t>
      </w:r>
      <w:r w:rsidR="00DD3583">
        <w:rPr>
          <w:rFonts w:cstheme="minorHAnsi"/>
          <w:bCs/>
          <w:iCs/>
        </w:rPr>
        <w:t xml:space="preserve">due to </w:t>
      </w:r>
      <w:r w:rsidR="00905A7C">
        <w:rPr>
          <w:rFonts w:cstheme="minorHAnsi"/>
          <w:bCs/>
          <w:iCs/>
        </w:rPr>
        <w:t>a higher a</w:t>
      </w:r>
      <w:r w:rsidR="00DD3583">
        <w:rPr>
          <w:rFonts w:cstheme="minorHAnsi"/>
          <w:bCs/>
          <w:iCs/>
        </w:rPr>
        <w:t xml:space="preserve">mount of CIL </w:t>
      </w:r>
      <w:r w:rsidR="00905A7C">
        <w:rPr>
          <w:rFonts w:cstheme="minorHAnsi"/>
          <w:bCs/>
          <w:iCs/>
        </w:rPr>
        <w:t xml:space="preserve">income </w:t>
      </w:r>
      <w:r w:rsidR="00316D94">
        <w:rPr>
          <w:rFonts w:cstheme="minorHAnsi"/>
          <w:bCs/>
          <w:iCs/>
        </w:rPr>
        <w:t xml:space="preserve">received </w:t>
      </w:r>
      <w:r w:rsidR="00DD3583">
        <w:rPr>
          <w:rFonts w:cstheme="minorHAnsi"/>
          <w:bCs/>
          <w:iCs/>
        </w:rPr>
        <w:t xml:space="preserve">in </w:t>
      </w:r>
      <w:r w:rsidR="00905A7C">
        <w:rPr>
          <w:rFonts w:cstheme="minorHAnsi"/>
          <w:bCs/>
          <w:iCs/>
        </w:rPr>
        <w:t xml:space="preserve">the </w:t>
      </w:r>
      <w:r w:rsidR="00DD3583">
        <w:rPr>
          <w:rFonts w:cstheme="minorHAnsi"/>
          <w:bCs/>
          <w:iCs/>
        </w:rPr>
        <w:t>year</w:t>
      </w:r>
      <w:r w:rsidR="00905A7C">
        <w:rPr>
          <w:rFonts w:cstheme="minorHAnsi"/>
          <w:bCs/>
          <w:iCs/>
        </w:rPr>
        <w:t>.</w:t>
      </w:r>
    </w:p>
    <w:p w14:paraId="451BD000" w14:textId="77777777" w:rsidR="009B627B" w:rsidRPr="005F529A" w:rsidRDefault="00B96555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5F529A">
        <w:rPr>
          <w:rFonts w:cstheme="minorHAnsi"/>
          <w:bCs/>
          <w:iCs/>
        </w:rPr>
        <w:t xml:space="preserve">The </w:t>
      </w:r>
      <w:r w:rsidR="00316D94">
        <w:rPr>
          <w:rFonts w:cstheme="minorHAnsi"/>
          <w:bCs/>
          <w:iCs/>
        </w:rPr>
        <w:t>A</w:t>
      </w:r>
      <w:r w:rsidRPr="005F529A">
        <w:rPr>
          <w:rFonts w:cstheme="minorHAnsi"/>
          <w:bCs/>
          <w:iCs/>
        </w:rPr>
        <w:t>pprentices</w:t>
      </w:r>
      <w:r w:rsidR="006E5466" w:rsidRPr="005F529A">
        <w:rPr>
          <w:rFonts w:cstheme="minorHAnsi"/>
          <w:bCs/>
          <w:iCs/>
        </w:rPr>
        <w:t xml:space="preserve"> and</w:t>
      </w:r>
      <w:r w:rsidRPr="005F529A">
        <w:rPr>
          <w:rFonts w:cstheme="minorHAnsi"/>
          <w:bCs/>
          <w:iCs/>
        </w:rPr>
        <w:t xml:space="preserve"> Investment and Skills service has </w:t>
      </w:r>
      <w:r w:rsidR="006E5466" w:rsidRPr="005F529A">
        <w:rPr>
          <w:rFonts w:cstheme="minorHAnsi"/>
          <w:bCs/>
          <w:iCs/>
        </w:rPr>
        <w:t>a combined</w:t>
      </w:r>
      <w:r w:rsidRPr="005F529A">
        <w:rPr>
          <w:rFonts w:cstheme="minorHAnsi"/>
          <w:bCs/>
          <w:iCs/>
        </w:rPr>
        <w:t xml:space="preserve"> underspend of £</w:t>
      </w:r>
      <w:r w:rsidR="00232655" w:rsidRPr="005F529A">
        <w:rPr>
          <w:rFonts w:cstheme="minorHAnsi"/>
          <w:bCs/>
          <w:iCs/>
        </w:rPr>
        <w:t>77</w:t>
      </w:r>
      <w:r w:rsidRPr="005F529A">
        <w:rPr>
          <w:rFonts w:cstheme="minorHAnsi"/>
          <w:bCs/>
          <w:iCs/>
        </w:rPr>
        <w:t>k due to vacancies.</w:t>
      </w:r>
    </w:p>
    <w:p w14:paraId="451BD001" w14:textId="77777777" w:rsidR="006E5466" w:rsidRPr="005F529A" w:rsidRDefault="00B96555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5F529A">
        <w:rPr>
          <w:rFonts w:cstheme="minorHAnsi"/>
          <w:bCs/>
          <w:iCs/>
        </w:rPr>
        <w:t>Licencing has a</w:t>
      </w:r>
      <w:r w:rsidR="0018643D" w:rsidRPr="005F529A">
        <w:rPr>
          <w:rFonts w:cstheme="minorHAnsi"/>
          <w:bCs/>
          <w:iCs/>
        </w:rPr>
        <w:t>n</w:t>
      </w:r>
      <w:r w:rsidRPr="005F529A">
        <w:rPr>
          <w:rFonts w:cstheme="minorHAnsi"/>
          <w:bCs/>
          <w:iCs/>
        </w:rPr>
        <w:t xml:space="preserve"> underspend </w:t>
      </w:r>
      <w:r w:rsidR="0018643D" w:rsidRPr="005F529A">
        <w:rPr>
          <w:rFonts w:cstheme="minorHAnsi"/>
          <w:bCs/>
          <w:iCs/>
        </w:rPr>
        <w:t>of</w:t>
      </w:r>
      <w:r w:rsidRPr="005F529A">
        <w:rPr>
          <w:rFonts w:cstheme="minorHAnsi"/>
          <w:bCs/>
          <w:iCs/>
        </w:rPr>
        <w:t xml:space="preserve"> £</w:t>
      </w:r>
      <w:r w:rsidR="0018643D" w:rsidRPr="005F529A">
        <w:rPr>
          <w:rFonts w:cstheme="minorHAnsi"/>
          <w:bCs/>
          <w:iCs/>
        </w:rPr>
        <w:t>5</w:t>
      </w:r>
      <w:r w:rsidRPr="005F529A">
        <w:rPr>
          <w:rFonts w:cstheme="minorHAnsi"/>
          <w:bCs/>
          <w:iCs/>
        </w:rPr>
        <w:t>0k</w:t>
      </w:r>
      <w:r w:rsidR="0018643D" w:rsidRPr="005F529A">
        <w:rPr>
          <w:rFonts w:cstheme="minorHAnsi"/>
          <w:bCs/>
          <w:iCs/>
        </w:rPr>
        <w:t xml:space="preserve"> on staffing</w:t>
      </w:r>
      <w:r w:rsidRPr="005F529A">
        <w:rPr>
          <w:rFonts w:cstheme="minorHAnsi"/>
          <w:bCs/>
          <w:iCs/>
        </w:rPr>
        <w:t xml:space="preserve"> due to vacant post</w:t>
      </w:r>
      <w:r w:rsidR="00F623D5" w:rsidRPr="005F529A">
        <w:rPr>
          <w:rFonts w:cstheme="minorHAnsi"/>
          <w:bCs/>
          <w:iCs/>
        </w:rPr>
        <w:t>s</w:t>
      </w:r>
      <w:r w:rsidR="0018643D" w:rsidRPr="005F529A">
        <w:rPr>
          <w:rFonts w:cstheme="minorHAnsi"/>
          <w:bCs/>
          <w:iCs/>
        </w:rPr>
        <w:t>.</w:t>
      </w:r>
    </w:p>
    <w:p w14:paraId="451BD002" w14:textId="77777777" w:rsidR="007815C3" w:rsidRPr="005F529A" w:rsidRDefault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03" w14:textId="77777777" w:rsidR="009D449E" w:rsidRPr="00FD3A41" w:rsidRDefault="00B96555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D3A41">
        <w:rPr>
          <w:rFonts w:cstheme="minorHAnsi"/>
          <w:b/>
          <w:bCs/>
          <w:iCs/>
        </w:rPr>
        <w:t xml:space="preserve">Policy – </w:t>
      </w:r>
      <w:r w:rsidR="00830E2D">
        <w:rPr>
          <w:rFonts w:cstheme="minorHAnsi"/>
          <w:b/>
          <w:bCs/>
          <w:iCs/>
        </w:rPr>
        <w:t>O</w:t>
      </w:r>
      <w:r w:rsidRPr="00FD3A41">
        <w:rPr>
          <w:rFonts w:cstheme="minorHAnsi"/>
          <w:b/>
          <w:bCs/>
          <w:iCs/>
        </w:rPr>
        <w:t>verspend of £</w:t>
      </w:r>
      <w:r w:rsidR="00A9451B">
        <w:rPr>
          <w:rFonts w:cstheme="minorHAnsi"/>
          <w:b/>
          <w:bCs/>
          <w:iCs/>
        </w:rPr>
        <w:t>24</w:t>
      </w:r>
      <w:r w:rsidR="00905A7C">
        <w:rPr>
          <w:rFonts w:cstheme="minorHAnsi"/>
          <w:b/>
          <w:bCs/>
          <w:iCs/>
        </w:rPr>
        <w:t>5</w:t>
      </w:r>
      <w:r w:rsidRPr="00FD3A41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</w:p>
    <w:p w14:paraId="451BD004" w14:textId="77777777" w:rsidR="00354F97" w:rsidRDefault="00354F97" w:rsidP="00354F9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05" w14:textId="77777777" w:rsidR="00354F97" w:rsidRDefault="00B96555" w:rsidP="00354F97">
      <w:pPr>
        <w:spacing w:after="0" w:line="240" w:lineRule="auto"/>
        <w:ind w:left="36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key variances comprise;</w:t>
      </w:r>
    </w:p>
    <w:p w14:paraId="451BD006" w14:textId="77777777" w:rsidR="00354F97" w:rsidRPr="00354F97" w:rsidRDefault="00354F97" w:rsidP="00354F9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07" w14:textId="77777777" w:rsidR="006659A1" w:rsidRPr="006D5428" w:rsidRDefault="00B96555" w:rsidP="006D54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6D5428">
        <w:rPr>
          <w:rFonts w:cstheme="minorHAnsi"/>
          <w:bCs/>
          <w:iCs/>
        </w:rPr>
        <w:t>£</w:t>
      </w:r>
      <w:r w:rsidR="005F529A" w:rsidRPr="006D5428">
        <w:rPr>
          <w:rFonts w:cstheme="minorHAnsi"/>
          <w:bCs/>
          <w:iCs/>
        </w:rPr>
        <w:t>93</w:t>
      </w:r>
      <w:r w:rsidRPr="006D5428">
        <w:rPr>
          <w:rFonts w:cstheme="minorHAnsi"/>
          <w:bCs/>
          <w:iCs/>
        </w:rPr>
        <w:t>k overspend relat</w:t>
      </w:r>
      <w:r w:rsidR="00316D94">
        <w:rPr>
          <w:rFonts w:cstheme="minorHAnsi"/>
          <w:bCs/>
          <w:iCs/>
        </w:rPr>
        <w:t>ing</w:t>
      </w:r>
      <w:r w:rsidRPr="006D5428">
        <w:rPr>
          <w:rFonts w:cstheme="minorHAnsi"/>
          <w:bCs/>
          <w:iCs/>
        </w:rPr>
        <w:t xml:space="preserve"> to </w:t>
      </w:r>
      <w:r w:rsidR="00905A7C" w:rsidRPr="006D5428">
        <w:rPr>
          <w:rFonts w:cstheme="minorHAnsi"/>
          <w:bCs/>
          <w:iCs/>
        </w:rPr>
        <w:t xml:space="preserve">the finalisation of the </w:t>
      </w:r>
      <w:r w:rsidRPr="006D5428">
        <w:rPr>
          <w:rFonts w:cstheme="minorHAnsi"/>
          <w:bCs/>
          <w:iCs/>
        </w:rPr>
        <w:t>external Audit fees for</w:t>
      </w:r>
      <w:r w:rsidR="00D97342" w:rsidRPr="006D5428">
        <w:rPr>
          <w:rFonts w:cstheme="minorHAnsi"/>
          <w:bCs/>
          <w:iCs/>
        </w:rPr>
        <w:t xml:space="preserve"> </w:t>
      </w:r>
      <w:r w:rsidR="00D43E5A">
        <w:rPr>
          <w:rFonts w:cstheme="minorHAnsi"/>
          <w:bCs/>
          <w:iCs/>
        </w:rPr>
        <w:t>20</w:t>
      </w:r>
      <w:r w:rsidR="00D97342" w:rsidRPr="006D5428">
        <w:rPr>
          <w:rFonts w:cstheme="minorHAnsi"/>
          <w:bCs/>
          <w:iCs/>
        </w:rPr>
        <w:t>20/21 and</w:t>
      </w:r>
      <w:r w:rsidRPr="006D5428">
        <w:rPr>
          <w:rFonts w:cstheme="minorHAnsi"/>
          <w:bCs/>
          <w:iCs/>
        </w:rPr>
        <w:t xml:space="preserve"> </w:t>
      </w:r>
      <w:r w:rsidR="00905A7C" w:rsidRPr="006D5428">
        <w:rPr>
          <w:rFonts w:cstheme="minorHAnsi"/>
          <w:bCs/>
          <w:iCs/>
        </w:rPr>
        <w:t xml:space="preserve">an increase in the cost of the Audit fees for </w:t>
      </w:r>
      <w:r w:rsidR="00D43E5A">
        <w:rPr>
          <w:rFonts w:cstheme="minorHAnsi"/>
          <w:bCs/>
          <w:iCs/>
        </w:rPr>
        <w:t>20</w:t>
      </w:r>
      <w:r w:rsidRPr="006D5428">
        <w:rPr>
          <w:rFonts w:cstheme="minorHAnsi"/>
          <w:bCs/>
          <w:iCs/>
        </w:rPr>
        <w:t>21/22</w:t>
      </w:r>
      <w:r w:rsidR="00905A7C" w:rsidRPr="006D5428">
        <w:rPr>
          <w:rFonts w:cstheme="minorHAnsi"/>
          <w:bCs/>
          <w:iCs/>
        </w:rPr>
        <w:t>, which is a situation encountered nationally across all local authority audits and has been the subject of government review</w:t>
      </w:r>
      <w:r w:rsidRPr="006D5428">
        <w:rPr>
          <w:rFonts w:cstheme="minorHAnsi"/>
          <w:bCs/>
          <w:iCs/>
        </w:rPr>
        <w:t>.</w:t>
      </w:r>
      <w:r w:rsidR="00FD3A41" w:rsidRPr="006D5428">
        <w:rPr>
          <w:rFonts w:cstheme="minorHAnsi"/>
          <w:bCs/>
          <w:iCs/>
        </w:rPr>
        <w:t xml:space="preserve"> </w:t>
      </w:r>
    </w:p>
    <w:p w14:paraId="451BD008" w14:textId="77777777" w:rsidR="00FC02CD" w:rsidRPr="00FD3A41" w:rsidRDefault="00B96555" w:rsidP="004E03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6D5428">
        <w:rPr>
          <w:rFonts w:cstheme="minorHAnsi"/>
          <w:bCs/>
          <w:iCs/>
        </w:rPr>
        <w:t>£</w:t>
      </w:r>
      <w:r w:rsidR="00A9451B" w:rsidRPr="006D5428">
        <w:rPr>
          <w:rFonts w:cstheme="minorHAnsi"/>
          <w:bCs/>
          <w:iCs/>
        </w:rPr>
        <w:t>203</w:t>
      </w:r>
      <w:r w:rsidRPr="006D5428">
        <w:rPr>
          <w:rFonts w:cstheme="minorHAnsi"/>
          <w:bCs/>
          <w:iCs/>
        </w:rPr>
        <w:t xml:space="preserve">k </w:t>
      </w:r>
      <w:r w:rsidR="00316D94">
        <w:rPr>
          <w:rFonts w:cstheme="minorHAnsi"/>
          <w:bCs/>
          <w:iCs/>
        </w:rPr>
        <w:t xml:space="preserve">of the </w:t>
      </w:r>
      <w:r w:rsidRPr="006D5428">
        <w:rPr>
          <w:rFonts w:cstheme="minorHAnsi"/>
          <w:bCs/>
          <w:iCs/>
        </w:rPr>
        <w:t>overspend</w:t>
      </w:r>
      <w:r w:rsidRPr="00FD3A41">
        <w:rPr>
          <w:rFonts w:cstheme="minorHAnsi"/>
          <w:bCs/>
          <w:iCs/>
        </w:rPr>
        <w:t xml:space="preserve"> </w:t>
      </w:r>
      <w:r w:rsidR="00316D94">
        <w:rPr>
          <w:rFonts w:cstheme="minorHAnsi"/>
          <w:bCs/>
          <w:iCs/>
        </w:rPr>
        <w:t xml:space="preserve">is </w:t>
      </w:r>
      <w:r w:rsidRPr="00FD3A41">
        <w:rPr>
          <w:rFonts w:cstheme="minorHAnsi"/>
          <w:bCs/>
          <w:iCs/>
        </w:rPr>
        <w:t xml:space="preserve">due to </w:t>
      </w:r>
      <w:r w:rsidR="00354F97">
        <w:rPr>
          <w:rFonts w:cstheme="minorHAnsi"/>
          <w:bCs/>
          <w:iCs/>
        </w:rPr>
        <w:t xml:space="preserve">an increase in the </w:t>
      </w:r>
      <w:r w:rsidR="00A9451B">
        <w:rPr>
          <w:rFonts w:cstheme="minorHAnsi"/>
          <w:bCs/>
          <w:iCs/>
        </w:rPr>
        <w:t>p</w:t>
      </w:r>
      <w:r w:rsidRPr="00FD3A41">
        <w:rPr>
          <w:rFonts w:cstheme="minorHAnsi"/>
          <w:bCs/>
          <w:iCs/>
        </w:rPr>
        <w:t xml:space="preserve">rovision for </w:t>
      </w:r>
      <w:r w:rsidR="00354F97">
        <w:rPr>
          <w:rFonts w:cstheme="minorHAnsi"/>
          <w:bCs/>
          <w:iCs/>
        </w:rPr>
        <w:t xml:space="preserve">doubtful </w:t>
      </w:r>
      <w:r w:rsidR="00FD3A41" w:rsidRPr="00FD3A41">
        <w:rPr>
          <w:rFonts w:cstheme="minorHAnsi"/>
          <w:bCs/>
          <w:iCs/>
        </w:rPr>
        <w:t>debts</w:t>
      </w:r>
      <w:r w:rsidR="006D5428">
        <w:rPr>
          <w:rFonts w:cstheme="minorHAnsi"/>
          <w:bCs/>
          <w:iCs/>
        </w:rPr>
        <w:t>.</w:t>
      </w:r>
      <w:r w:rsidR="00FD3A41" w:rsidRPr="00FD3A41">
        <w:rPr>
          <w:rFonts w:cstheme="minorHAnsi"/>
          <w:bCs/>
          <w:iCs/>
        </w:rPr>
        <w:t xml:space="preserve"> </w:t>
      </w:r>
    </w:p>
    <w:p w14:paraId="451BD009" w14:textId="77777777" w:rsidR="00543157" w:rsidRPr="00543157" w:rsidRDefault="00B96555" w:rsidP="0036297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</w:t>
      </w:r>
      <w:r w:rsidR="006D5428">
        <w:rPr>
          <w:rFonts w:cstheme="minorHAnsi"/>
          <w:bCs/>
          <w:iCs/>
        </w:rPr>
        <w:t>balance</w:t>
      </w:r>
      <w:r>
        <w:rPr>
          <w:rFonts w:cstheme="minorHAnsi"/>
          <w:bCs/>
          <w:iCs/>
        </w:rPr>
        <w:t xml:space="preserve"> relates to various non-staffing </w:t>
      </w:r>
      <w:r w:rsidR="006D5428">
        <w:rPr>
          <w:rFonts w:cstheme="minorHAnsi"/>
          <w:bCs/>
          <w:iCs/>
        </w:rPr>
        <w:t xml:space="preserve">net underspends </w:t>
      </w:r>
      <w:r>
        <w:rPr>
          <w:rFonts w:cstheme="minorHAnsi"/>
          <w:bCs/>
          <w:iCs/>
        </w:rPr>
        <w:t>across the directorate.</w:t>
      </w:r>
    </w:p>
    <w:p w14:paraId="451BD00A" w14:textId="77777777" w:rsidR="007815C3" w:rsidRPr="00543157" w:rsidRDefault="00B96555" w:rsidP="00543157">
      <w:pPr>
        <w:pStyle w:val="ListParagraph"/>
        <w:spacing w:after="0" w:line="240" w:lineRule="auto"/>
        <w:jc w:val="both"/>
        <w:rPr>
          <w:rFonts w:cstheme="minorHAnsi"/>
          <w:bCs/>
          <w:iCs/>
          <w:highlight w:val="yellow"/>
        </w:rPr>
      </w:pPr>
      <w:r w:rsidRPr="00543157">
        <w:rPr>
          <w:rFonts w:cstheme="minorHAnsi"/>
          <w:bCs/>
          <w:iCs/>
        </w:rPr>
        <w:t xml:space="preserve"> </w:t>
      </w:r>
    </w:p>
    <w:p w14:paraId="451BD00B" w14:textId="77777777" w:rsidR="009D449E" w:rsidRPr="00CC6FD0" w:rsidRDefault="00B96555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CC6FD0">
        <w:rPr>
          <w:rFonts w:cstheme="minorHAnsi"/>
          <w:b/>
          <w:bCs/>
          <w:iCs/>
        </w:rPr>
        <w:t xml:space="preserve">Budgets Not In Directorates – </w:t>
      </w:r>
      <w:r w:rsidR="00830E2D">
        <w:rPr>
          <w:rFonts w:cstheme="minorHAnsi"/>
          <w:b/>
          <w:bCs/>
          <w:iCs/>
        </w:rPr>
        <w:t>O</w:t>
      </w:r>
      <w:r w:rsidR="00662BE9" w:rsidRPr="00CC6FD0">
        <w:rPr>
          <w:rFonts w:cstheme="minorHAnsi"/>
          <w:b/>
          <w:bCs/>
          <w:iCs/>
        </w:rPr>
        <w:t>verspend of £3</w:t>
      </w:r>
      <w:r w:rsidR="006D5428">
        <w:rPr>
          <w:rFonts w:cstheme="minorHAnsi"/>
          <w:b/>
          <w:bCs/>
          <w:iCs/>
        </w:rPr>
        <w:t>50</w:t>
      </w:r>
      <w:r w:rsidRPr="00CC6FD0">
        <w:rPr>
          <w:rFonts w:cstheme="minorHAnsi"/>
          <w:b/>
          <w:bCs/>
          <w:iCs/>
        </w:rPr>
        <w:t>k</w:t>
      </w:r>
      <w:r w:rsidR="00C01720">
        <w:rPr>
          <w:rFonts w:cstheme="minorHAnsi"/>
          <w:b/>
          <w:bCs/>
          <w:iCs/>
        </w:rPr>
        <w:t xml:space="preserve"> </w:t>
      </w:r>
    </w:p>
    <w:p w14:paraId="451BD00C" w14:textId="77777777" w:rsidR="006D5428" w:rsidRDefault="006D5428" w:rsidP="006D5428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0D" w14:textId="77777777" w:rsidR="006D5428" w:rsidRDefault="00B96555" w:rsidP="006D5428">
      <w:pPr>
        <w:spacing w:after="0" w:line="240" w:lineRule="auto"/>
        <w:ind w:left="36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key variances to note are;</w:t>
      </w:r>
    </w:p>
    <w:p w14:paraId="451BD00E" w14:textId="77777777" w:rsidR="006D5428" w:rsidRPr="006D5428" w:rsidRDefault="006D5428" w:rsidP="006D5428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0F" w14:textId="77777777" w:rsidR="00704F33" w:rsidRPr="00CC6FD0" w:rsidRDefault="00B96555" w:rsidP="00704F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CC6FD0">
        <w:rPr>
          <w:rFonts w:cstheme="minorHAnsi"/>
          <w:bCs/>
          <w:iCs/>
        </w:rPr>
        <w:t>As noted in</w:t>
      </w:r>
      <w:r w:rsidR="00662BE9" w:rsidRPr="00CC6FD0">
        <w:rPr>
          <w:rFonts w:cstheme="minorHAnsi"/>
          <w:bCs/>
          <w:iCs/>
        </w:rPr>
        <w:t xml:space="preserve"> previous reports</w:t>
      </w:r>
      <w:r w:rsidR="00C62B30" w:rsidRPr="00CC6FD0">
        <w:rPr>
          <w:rFonts w:cstheme="minorHAnsi"/>
          <w:bCs/>
          <w:iCs/>
        </w:rPr>
        <w:t>,</w:t>
      </w:r>
      <w:r w:rsidRPr="00CC6FD0">
        <w:rPr>
          <w:rFonts w:cstheme="minorHAnsi"/>
          <w:bCs/>
          <w:iCs/>
        </w:rPr>
        <w:t xml:space="preserve"> additional pension contributions of £353k w</w:t>
      </w:r>
      <w:r w:rsidR="00CC6FD0" w:rsidRPr="00CC6FD0">
        <w:rPr>
          <w:rFonts w:cstheme="minorHAnsi"/>
          <w:bCs/>
          <w:iCs/>
        </w:rPr>
        <w:t>ere</w:t>
      </w:r>
      <w:r w:rsidRPr="00CC6FD0">
        <w:rPr>
          <w:rFonts w:cstheme="minorHAnsi"/>
          <w:bCs/>
          <w:iCs/>
        </w:rPr>
        <w:t xml:space="preserve"> required </w:t>
      </w:r>
      <w:r w:rsidR="006D5428">
        <w:rPr>
          <w:rFonts w:cstheme="minorHAnsi"/>
          <w:bCs/>
          <w:iCs/>
        </w:rPr>
        <w:t xml:space="preserve">to be paid to the Lancashire Pension Fund during </w:t>
      </w:r>
      <w:r w:rsidR="00C62B30" w:rsidRPr="00CC6FD0">
        <w:rPr>
          <w:rFonts w:cstheme="minorHAnsi"/>
          <w:bCs/>
          <w:iCs/>
        </w:rPr>
        <w:t>the year</w:t>
      </w:r>
      <w:r w:rsidR="006D5428">
        <w:rPr>
          <w:rFonts w:cstheme="minorHAnsi"/>
          <w:bCs/>
          <w:iCs/>
        </w:rPr>
        <w:t>,</w:t>
      </w:r>
      <w:r w:rsidR="00C62B30" w:rsidRPr="00CC6FD0">
        <w:rPr>
          <w:rFonts w:cstheme="minorHAnsi"/>
          <w:bCs/>
          <w:iCs/>
        </w:rPr>
        <w:t xml:space="preserve"> to address the </w:t>
      </w:r>
      <w:r w:rsidRPr="00CC6FD0">
        <w:rPr>
          <w:rFonts w:cstheme="minorHAnsi"/>
          <w:bCs/>
          <w:iCs/>
        </w:rPr>
        <w:t>under</w:t>
      </w:r>
      <w:r w:rsidR="00C62B30" w:rsidRPr="00CC6FD0">
        <w:rPr>
          <w:rFonts w:cstheme="minorHAnsi"/>
          <w:bCs/>
          <w:iCs/>
        </w:rPr>
        <w:t xml:space="preserve">stated level of </w:t>
      </w:r>
      <w:r w:rsidRPr="00CC6FD0">
        <w:rPr>
          <w:rFonts w:cstheme="minorHAnsi"/>
          <w:bCs/>
          <w:iCs/>
        </w:rPr>
        <w:t xml:space="preserve">pension contributions </w:t>
      </w:r>
      <w:r w:rsidR="00316D94">
        <w:rPr>
          <w:rFonts w:cstheme="minorHAnsi"/>
          <w:bCs/>
          <w:iCs/>
        </w:rPr>
        <w:t xml:space="preserve">that were </w:t>
      </w:r>
      <w:r w:rsidRPr="00CC6FD0">
        <w:rPr>
          <w:rFonts w:cstheme="minorHAnsi"/>
          <w:bCs/>
          <w:iCs/>
        </w:rPr>
        <w:t xml:space="preserve">paid </w:t>
      </w:r>
      <w:r w:rsidR="00525076" w:rsidRPr="00CC6FD0">
        <w:rPr>
          <w:rFonts w:cstheme="minorHAnsi"/>
          <w:bCs/>
          <w:iCs/>
        </w:rPr>
        <w:t xml:space="preserve">in advance for the three years to 2022/23 </w:t>
      </w:r>
      <w:r w:rsidR="006D5428">
        <w:rPr>
          <w:rFonts w:cstheme="minorHAnsi"/>
          <w:bCs/>
          <w:iCs/>
        </w:rPr>
        <w:t xml:space="preserve">back in </w:t>
      </w:r>
      <w:r w:rsidRPr="00CC6FD0">
        <w:rPr>
          <w:rFonts w:cstheme="minorHAnsi"/>
          <w:bCs/>
          <w:iCs/>
        </w:rPr>
        <w:t>April 2020.  This has resulted in an in-year overspend of £2</w:t>
      </w:r>
      <w:r w:rsidR="004E320A" w:rsidRPr="00CC6FD0">
        <w:rPr>
          <w:rFonts w:cstheme="minorHAnsi"/>
          <w:bCs/>
          <w:iCs/>
        </w:rPr>
        <w:t>38</w:t>
      </w:r>
      <w:r w:rsidRPr="00CC6FD0">
        <w:rPr>
          <w:rFonts w:cstheme="minorHAnsi"/>
          <w:bCs/>
          <w:iCs/>
        </w:rPr>
        <w:t>k</w:t>
      </w:r>
      <w:r w:rsidR="00525076" w:rsidRPr="00CC6FD0">
        <w:rPr>
          <w:rFonts w:cstheme="minorHAnsi"/>
          <w:bCs/>
          <w:iCs/>
        </w:rPr>
        <w:t>.</w:t>
      </w:r>
    </w:p>
    <w:p w14:paraId="451BD010" w14:textId="77777777" w:rsidR="00704F33" w:rsidRPr="00095D63" w:rsidRDefault="00B96555" w:rsidP="00704F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4E320A">
        <w:rPr>
          <w:rFonts w:cstheme="minorHAnsi"/>
          <w:bCs/>
          <w:iCs/>
        </w:rPr>
        <w:t xml:space="preserve">The original revenue budget included </w:t>
      </w:r>
      <w:r w:rsidR="00525076" w:rsidRPr="004E320A">
        <w:rPr>
          <w:rFonts w:cstheme="minorHAnsi"/>
          <w:bCs/>
          <w:iCs/>
        </w:rPr>
        <w:t xml:space="preserve">a </w:t>
      </w:r>
      <w:r w:rsidRPr="004E320A">
        <w:rPr>
          <w:rFonts w:cstheme="minorHAnsi"/>
          <w:bCs/>
          <w:iCs/>
        </w:rPr>
        <w:t>savings target of £150k for staff turnover and £40k for expanding shared services.  The full savings o</w:t>
      </w:r>
      <w:r w:rsidRPr="004E320A">
        <w:rPr>
          <w:rFonts w:cstheme="minorHAnsi"/>
          <w:bCs/>
          <w:iCs/>
        </w:rPr>
        <w:t>f £150k have already been achieved and these have been deducted from directorate staffing budgets; £75k to Communities and £75k to Customer and Digital.</w:t>
      </w:r>
      <w:r w:rsidR="0068587F" w:rsidRPr="004E320A">
        <w:t xml:space="preserve"> </w:t>
      </w:r>
      <w:r w:rsidR="0068587F" w:rsidRPr="004E320A">
        <w:rPr>
          <w:rFonts w:cstheme="minorHAnsi"/>
          <w:bCs/>
          <w:iCs/>
        </w:rPr>
        <w:t xml:space="preserve">Due to the time taken for the implementation of the ICT and Customer Services reviews, there has been some slippage in the delivery of the £40k savings target for Shared Services. </w:t>
      </w:r>
      <w:r w:rsidR="002E5391" w:rsidRPr="004E320A">
        <w:rPr>
          <w:rFonts w:cstheme="minorHAnsi"/>
          <w:bCs/>
          <w:iCs/>
        </w:rPr>
        <w:t>However,</w:t>
      </w:r>
      <w:r w:rsidR="0068587F" w:rsidRPr="004E320A">
        <w:rPr>
          <w:rFonts w:cstheme="minorHAnsi"/>
          <w:bCs/>
          <w:iCs/>
        </w:rPr>
        <w:t xml:space="preserve"> given </w:t>
      </w:r>
      <w:r w:rsidR="0068587F" w:rsidRPr="00095D63">
        <w:rPr>
          <w:rFonts w:cstheme="minorHAnsi"/>
          <w:bCs/>
          <w:iCs/>
        </w:rPr>
        <w:t xml:space="preserve">that these </w:t>
      </w:r>
      <w:r w:rsidR="00525076" w:rsidRPr="00095D63">
        <w:rPr>
          <w:rFonts w:cstheme="minorHAnsi"/>
          <w:bCs/>
          <w:iCs/>
        </w:rPr>
        <w:t>reviews are</w:t>
      </w:r>
      <w:r w:rsidR="0068587F" w:rsidRPr="00095D63">
        <w:rPr>
          <w:rFonts w:cstheme="minorHAnsi"/>
          <w:bCs/>
          <w:iCs/>
        </w:rPr>
        <w:t xml:space="preserve"> now almost concluded, the savings will be achieved and </w:t>
      </w:r>
      <w:r w:rsidR="00525076" w:rsidRPr="00095D63">
        <w:rPr>
          <w:rFonts w:cstheme="minorHAnsi"/>
          <w:bCs/>
          <w:iCs/>
        </w:rPr>
        <w:t xml:space="preserve">have been </w:t>
      </w:r>
      <w:r w:rsidR="0068587F" w:rsidRPr="00095D63">
        <w:rPr>
          <w:rFonts w:cstheme="minorHAnsi"/>
          <w:bCs/>
          <w:iCs/>
        </w:rPr>
        <w:t xml:space="preserve">allocated in full as part of the budget setting process for 2022/23; in 2021/22 the shortfall </w:t>
      </w:r>
      <w:r w:rsidR="006D5428">
        <w:rPr>
          <w:rFonts w:cstheme="minorHAnsi"/>
          <w:bCs/>
          <w:iCs/>
        </w:rPr>
        <w:t xml:space="preserve">is </w:t>
      </w:r>
      <w:r w:rsidR="0068587F" w:rsidRPr="00095D63">
        <w:rPr>
          <w:rFonts w:cstheme="minorHAnsi"/>
          <w:bCs/>
          <w:iCs/>
        </w:rPr>
        <w:t>covered by in year underspends.</w:t>
      </w:r>
    </w:p>
    <w:p w14:paraId="451BD011" w14:textId="77777777" w:rsidR="0098082A" w:rsidRPr="00095D63" w:rsidRDefault="00B96555" w:rsidP="009808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095D63">
        <w:rPr>
          <w:rFonts w:cstheme="minorHAnsi"/>
          <w:bCs/>
          <w:iCs/>
        </w:rPr>
        <w:t>Parish precepts are £44k higher than budget due to the fact that their value was not available when the budget was set.</w:t>
      </w:r>
    </w:p>
    <w:p w14:paraId="451BD012" w14:textId="77777777" w:rsidR="00886CD7" w:rsidRPr="00095D63" w:rsidRDefault="00B96555" w:rsidP="0098082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095D63">
        <w:rPr>
          <w:rFonts w:cstheme="minorHAnsi"/>
          <w:bCs/>
          <w:iCs/>
        </w:rPr>
        <w:t>Net Interest Receivable/Payable is £</w:t>
      </w:r>
      <w:r w:rsidR="004E320A" w:rsidRPr="00095D63">
        <w:rPr>
          <w:rFonts w:cstheme="minorHAnsi"/>
          <w:bCs/>
          <w:iCs/>
        </w:rPr>
        <w:t>28</w:t>
      </w:r>
      <w:r w:rsidRPr="00095D63">
        <w:rPr>
          <w:rFonts w:cstheme="minorHAnsi"/>
          <w:bCs/>
          <w:iCs/>
        </w:rPr>
        <w:t>k overspent for 2021/22.</w:t>
      </w:r>
    </w:p>
    <w:p w14:paraId="451BD013" w14:textId="77777777" w:rsidR="0098082A" w:rsidRPr="00C07CD1" w:rsidRDefault="0098082A" w:rsidP="0098082A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14" w14:textId="77777777" w:rsidR="006F0957" w:rsidRPr="00C07CD1" w:rsidRDefault="00B96555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C07CD1">
        <w:rPr>
          <w:rFonts w:cstheme="minorHAnsi"/>
          <w:b/>
          <w:bCs/>
          <w:iCs/>
        </w:rPr>
        <w:t xml:space="preserve">Covid-19 </w:t>
      </w:r>
      <w:r w:rsidR="00C07CD1" w:rsidRPr="00C07CD1">
        <w:rPr>
          <w:rFonts w:cstheme="minorHAnsi"/>
          <w:b/>
          <w:bCs/>
          <w:iCs/>
        </w:rPr>
        <w:t>–</w:t>
      </w:r>
      <w:r w:rsidRPr="00C07CD1">
        <w:rPr>
          <w:rFonts w:cstheme="minorHAnsi"/>
          <w:b/>
          <w:bCs/>
          <w:iCs/>
        </w:rPr>
        <w:t xml:space="preserve"> </w:t>
      </w:r>
      <w:r w:rsidR="00830E2D">
        <w:rPr>
          <w:rFonts w:cstheme="minorHAnsi"/>
          <w:b/>
          <w:bCs/>
          <w:iCs/>
        </w:rPr>
        <w:t>O</w:t>
      </w:r>
      <w:r w:rsidR="00C07CD1" w:rsidRPr="00C07CD1">
        <w:rPr>
          <w:rFonts w:cstheme="minorHAnsi"/>
          <w:b/>
          <w:bCs/>
          <w:iCs/>
        </w:rPr>
        <w:t>verspend of £1</w:t>
      </w:r>
      <w:r w:rsidR="00830E2D">
        <w:rPr>
          <w:rFonts w:cstheme="minorHAnsi"/>
          <w:b/>
          <w:bCs/>
          <w:iCs/>
        </w:rPr>
        <w:t>3</w:t>
      </w:r>
      <w:r w:rsidR="00C07CD1" w:rsidRPr="00C07CD1">
        <w:rPr>
          <w:rFonts w:cstheme="minorHAnsi"/>
          <w:b/>
          <w:bCs/>
          <w:iCs/>
        </w:rPr>
        <w:t xml:space="preserve">k following </w:t>
      </w:r>
      <w:r w:rsidR="00556EE1">
        <w:rPr>
          <w:rFonts w:cstheme="minorHAnsi"/>
          <w:b/>
          <w:bCs/>
          <w:iCs/>
        </w:rPr>
        <w:t>month 10</w:t>
      </w:r>
      <w:r w:rsidR="00C07CD1" w:rsidRPr="00C07CD1">
        <w:rPr>
          <w:rFonts w:cstheme="minorHAnsi"/>
          <w:b/>
          <w:bCs/>
          <w:iCs/>
        </w:rPr>
        <w:t xml:space="preserve"> reserve adjustments</w:t>
      </w:r>
      <w:r w:rsidR="00C01720">
        <w:rPr>
          <w:rFonts w:cstheme="minorHAnsi"/>
          <w:b/>
          <w:bCs/>
          <w:iCs/>
        </w:rPr>
        <w:t xml:space="preserve"> </w:t>
      </w:r>
    </w:p>
    <w:p w14:paraId="451BD015" w14:textId="77777777" w:rsidR="006D5428" w:rsidRDefault="006D5428" w:rsidP="006D5428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14:paraId="451BD016" w14:textId="77777777" w:rsidR="00287D06" w:rsidRPr="00C07CD1" w:rsidRDefault="00B96555" w:rsidP="00287D0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C07CD1">
        <w:rPr>
          <w:rFonts w:cstheme="minorHAnsi"/>
          <w:bCs/>
          <w:iCs/>
        </w:rPr>
        <w:t>F</w:t>
      </w:r>
      <w:r w:rsidR="006D5428">
        <w:rPr>
          <w:rFonts w:cstheme="minorHAnsi"/>
          <w:bCs/>
          <w:iCs/>
        </w:rPr>
        <w:t>urther to the February Council meeting, £</w:t>
      </w:r>
      <w:r w:rsidRPr="00C07CD1">
        <w:rPr>
          <w:rFonts w:cstheme="minorHAnsi"/>
          <w:bCs/>
          <w:iCs/>
        </w:rPr>
        <w:t>1.03m of reserves ha</w:t>
      </w:r>
      <w:r w:rsidR="006D5428">
        <w:rPr>
          <w:rFonts w:cstheme="minorHAnsi"/>
          <w:bCs/>
          <w:iCs/>
        </w:rPr>
        <w:t>ve</w:t>
      </w:r>
      <w:r w:rsidRPr="00C07CD1">
        <w:rPr>
          <w:rFonts w:cstheme="minorHAnsi"/>
          <w:bCs/>
          <w:iCs/>
        </w:rPr>
        <w:t xml:space="preserve"> been created from underspends </w:t>
      </w:r>
      <w:r w:rsidR="006D5428">
        <w:rPr>
          <w:rFonts w:cstheme="minorHAnsi"/>
          <w:bCs/>
          <w:iCs/>
        </w:rPr>
        <w:t xml:space="preserve">generated in 2021/22 following the application of </w:t>
      </w:r>
      <w:r w:rsidRPr="00C07CD1">
        <w:rPr>
          <w:rFonts w:cstheme="minorHAnsi"/>
          <w:bCs/>
          <w:iCs/>
        </w:rPr>
        <w:t>un</w:t>
      </w:r>
      <w:r w:rsidR="006D5428">
        <w:rPr>
          <w:rFonts w:cstheme="minorHAnsi"/>
          <w:bCs/>
          <w:iCs/>
        </w:rPr>
        <w:t>-</w:t>
      </w:r>
      <w:r w:rsidRPr="00C07CD1">
        <w:rPr>
          <w:rFonts w:cstheme="minorHAnsi"/>
          <w:bCs/>
          <w:iCs/>
        </w:rPr>
        <w:t>ringfenced Covid funding to existing budgets</w:t>
      </w:r>
      <w:r w:rsidR="006D5428">
        <w:rPr>
          <w:rFonts w:cstheme="minorHAnsi"/>
          <w:bCs/>
          <w:iCs/>
        </w:rPr>
        <w:t xml:space="preserve"> that have incurred Covid related expenditure</w:t>
      </w:r>
      <w:r w:rsidRPr="00C07CD1">
        <w:rPr>
          <w:rFonts w:cstheme="minorHAnsi"/>
          <w:bCs/>
          <w:iCs/>
        </w:rPr>
        <w:t xml:space="preserve">. </w:t>
      </w:r>
    </w:p>
    <w:p w14:paraId="451BD017" w14:textId="77777777" w:rsidR="0068587F" w:rsidRPr="00541E07" w:rsidRDefault="0068587F" w:rsidP="0068587F">
      <w:pPr>
        <w:pStyle w:val="ListParagraph"/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18" w14:textId="77777777" w:rsidR="0068587F" w:rsidRPr="007C20C9" w:rsidRDefault="00B96555" w:rsidP="0068587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7C20C9">
        <w:rPr>
          <w:rFonts w:cstheme="minorHAnsi"/>
          <w:bCs/>
          <w:iCs/>
        </w:rPr>
        <w:t xml:space="preserve">Confirmation has been received </w:t>
      </w:r>
      <w:r w:rsidR="007C20C9" w:rsidRPr="007C20C9">
        <w:rPr>
          <w:rFonts w:cstheme="minorHAnsi"/>
          <w:bCs/>
          <w:iCs/>
        </w:rPr>
        <w:t xml:space="preserve">that </w:t>
      </w:r>
      <w:r w:rsidR="006D5428">
        <w:rPr>
          <w:rFonts w:cstheme="minorHAnsi"/>
          <w:bCs/>
          <w:iCs/>
        </w:rPr>
        <w:t xml:space="preserve">the </w:t>
      </w:r>
      <w:r w:rsidRPr="007C20C9">
        <w:rPr>
          <w:rFonts w:cstheme="minorHAnsi"/>
          <w:bCs/>
          <w:iCs/>
        </w:rPr>
        <w:t xml:space="preserve">Covid-19 Contain Outbreak Management Fund (COMF) </w:t>
      </w:r>
      <w:r w:rsidR="007C20C9" w:rsidRPr="007C20C9">
        <w:rPr>
          <w:rFonts w:cstheme="minorHAnsi"/>
          <w:bCs/>
          <w:iCs/>
        </w:rPr>
        <w:t xml:space="preserve">can be carried forward </w:t>
      </w:r>
      <w:r w:rsidR="006D5428">
        <w:rPr>
          <w:rFonts w:cstheme="minorHAnsi"/>
          <w:bCs/>
          <w:iCs/>
        </w:rPr>
        <w:t xml:space="preserve">and </w:t>
      </w:r>
      <w:r w:rsidR="007C20C9" w:rsidRPr="007C20C9">
        <w:rPr>
          <w:rFonts w:cstheme="minorHAnsi"/>
          <w:bCs/>
          <w:iCs/>
        </w:rPr>
        <w:t>as a result</w:t>
      </w:r>
      <w:r w:rsidR="00316D94">
        <w:rPr>
          <w:rFonts w:cstheme="minorHAnsi"/>
          <w:bCs/>
          <w:iCs/>
        </w:rPr>
        <w:t>,</w:t>
      </w:r>
      <w:r w:rsidR="007C20C9" w:rsidRPr="007C20C9">
        <w:rPr>
          <w:rFonts w:cstheme="minorHAnsi"/>
          <w:bCs/>
          <w:iCs/>
        </w:rPr>
        <w:t xml:space="preserve"> £391k has been identified </w:t>
      </w:r>
      <w:r w:rsidR="006D5428">
        <w:rPr>
          <w:rFonts w:cstheme="minorHAnsi"/>
          <w:bCs/>
          <w:iCs/>
        </w:rPr>
        <w:t xml:space="preserve">for </w:t>
      </w:r>
      <w:r w:rsidR="007C20C9" w:rsidRPr="007C20C9">
        <w:rPr>
          <w:rFonts w:cstheme="minorHAnsi"/>
          <w:bCs/>
          <w:iCs/>
        </w:rPr>
        <w:t xml:space="preserve">projects that are </w:t>
      </w:r>
      <w:r w:rsidR="006D5428">
        <w:rPr>
          <w:rFonts w:cstheme="minorHAnsi"/>
          <w:bCs/>
          <w:iCs/>
        </w:rPr>
        <w:t xml:space="preserve">due </w:t>
      </w:r>
      <w:r w:rsidR="007C20C9" w:rsidRPr="007C20C9">
        <w:rPr>
          <w:rFonts w:cstheme="minorHAnsi"/>
          <w:bCs/>
          <w:iCs/>
        </w:rPr>
        <w:t xml:space="preserve">to complete in </w:t>
      </w:r>
      <w:r w:rsidR="006D5428">
        <w:rPr>
          <w:rFonts w:cstheme="minorHAnsi"/>
          <w:bCs/>
          <w:iCs/>
        </w:rPr>
        <w:t>20</w:t>
      </w:r>
      <w:r w:rsidR="007C20C9" w:rsidRPr="007C20C9">
        <w:rPr>
          <w:rFonts w:cstheme="minorHAnsi"/>
          <w:bCs/>
          <w:iCs/>
        </w:rPr>
        <w:t>22/23</w:t>
      </w:r>
      <w:r w:rsidRPr="007C20C9">
        <w:rPr>
          <w:rFonts w:cstheme="minorHAnsi"/>
          <w:bCs/>
          <w:iCs/>
        </w:rPr>
        <w:t xml:space="preserve">. </w:t>
      </w:r>
    </w:p>
    <w:p w14:paraId="451BD019" w14:textId="77777777" w:rsidR="006F0957" w:rsidRDefault="006F0957" w:rsidP="006F0957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D01A" w14:textId="77777777" w:rsidR="000B0F89" w:rsidRDefault="000B0F89" w:rsidP="006F0957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D01B" w14:textId="77777777" w:rsidR="00316D94" w:rsidRDefault="00316D94" w:rsidP="006F0957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D01C" w14:textId="77777777" w:rsidR="00316D94" w:rsidRPr="00541E07" w:rsidRDefault="00316D94" w:rsidP="006F0957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D01D" w14:textId="77777777" w:rsidR="00886CD7" w:rsidRPr="0088181D" w:rsidRDefault="00B96555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Cs/>
        </w:rPr>
        <w:t>Planned reserves movement</w:t>
      </w:r>
      <w:r w:rsidR="004C7497" w:rsidRPr="0088181D">
        <w:rPr>
          <w:rFonts w:cstheme="minorHAnsi"/>
          <w:b/>
          <w:bCs/>
          <w:iCs/>
        </w:rPr>
        <w:t xml:space="preserve"> </w:t>
      </w:r>
      <w:r w:rsidR="004C7497" w:rsidRPr="00C3608F">
        <w:rPr>
          <w:rFonts w:cstheme="minorHAnsi"/>
          <w:b/>
          <w:iCs/>
        </w:rPr>
        <w:t xml:space="preserve">– </w:t>
      </w:r>
      <w:r w:rsidR="00133753" w:rsidRPr="00C3608F">
        <w:rPr>
          <w:rFonts w:cstheme="minorHAnsi"/>
          <w:b/>
          <w:iCs/>
        </w:rPr>
        <w:t>£</w:t>
      </w:r>
      <w:r w:rsidR="0088181D" w:rsidRPr="00C3608F">
        <w:rPr>
          <w:rFonts w:cstheme="minorHAnsi"/>
          <w:b/>
          <w:iCs/>
        </w:rPr>
        <w:t>124</w:t>
      </w:r>
      <w:r w:rsidR="00133753" w:rsidRPr="00C3608F">
        <w:rPr>
          <w:rFonts w:cstheme="minorHAnsi"/>
          <w:b/>
          <w:iCs/>
        </w:rPr>
        <w:t>k Overspend</w:t>
      </w:r>
      <w:r>
        <w:rPr>
          <w:rFonts w:cstheme="minorHAnsi"/>
          <w:b/>
          <w:iCs/>
        </w:rPr>
        <w:t xml:space="preserve"> </w:t>
      </w:r>
    </w:p>
    <w:p w14:paraId="451BD01E" w14:textId="77777777" w:rsidR="000B0F89" w:rsidRDefault="000B0F89" w:rsidP="000B0F89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14:paraId="451BD01F" w14:textId="77777777" w:rsidR="00133753" w:rsidRPr="0088181D" w:rsidRDefault="00B96555" w:rsidP="0013375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88181D">
        <w:rPr>
          <w:rFonts w:cstheme="minorHAnsi"/>
          <w:bCs/>
          <w:iCs/>
        </w:rPr>
        <w:lastRenderedPageBreak/>
        <w:t xml:space="preserve">The budgeted use of reserves for </w:t>
      </w:r>
      <w:r w:rsidR="0088181D" w:rsidRPr="0088181D">
        <w:rPr>
          <w:rFonts w:cstheme="minorHAnsi"/>
          <w:bCs/>
          <w:iCs/>
        </w:rPr>
        <w:t xml:space="preserve">Business Rates </w:t>
      </w:r>
      <w:r w:rsidR="00316D94">
        <w:rPr>
          <w:rFonts w:cstheme="minorHAnsi"/>
          <w:bCs/>
          <w:iCs/>
        </w:rPr>
        <w:t>is</w:t>
      </w:r>
      <w:r w:rsidR="0088181D" w:rsidRPr="0088181D">
        <w:rPr>
          <w:rFonts w:cstheme="minorHAnsi"/>
          <w:bCs/>
          <w:iCs/>
        </w:rPr>
        <w:t xml:space="preserve"> no longer required give</w:t>
      </w:r>
      <w:r w:rsidR="00830E2D">
        <w:rPr>
          <w:rFonts w:cstheme="minorHAnsi"/>
          <w:bCs/>
          <w:iCs/>
        </w:rPr>
        <w:t>n</w:t>
      </w:r>
      <w:r w:rsidR="0088181D" w:rsidRPr="0088181D">
        <w:rPr>
          <w:rFonts w:cstheme="minorHAnsi"/>
          <w:bCs/>
          <w:iCs/>
        </w:rPr>
        <w:t xml:space="preserve"> the outturn position.</w:t>
      </w:r>
    </w:p>
    <w:p w14:paraId="451BD020" w14:textId="77777777" w:rsidR="00886CD7" w:rsidRPr="00541E07" w:rsidRDefault="00886CD7" w:rsidP="00886CD7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p w14:paraId="451BD021" w14:textId="77777777" w:rsidR="00E24AE3" w:rsidRPr="00830E2D" w:rsidRDefault="00B96555" w:rsidP="00E24AE3">
      <w:pPr>
        <w:pStyle w:val="Heading2"/>
      </w:pPr>
      <w:r w:rsidRPr="00830E2D">
        <w:t>Section B: General Fund Resources and Balances</w:t>
      </w:r>
    </w:p>
    <w:p w14:paraId="451BD022" w14:textId="77777777" w:rsidR="00B0080D" w:rsidRPr="00155565" w:rsidRDefault="00B96555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55565">
        <w:rPr>
          <w:rFonts w:cstheme="minorHAnsi"/>
          <w:bCs/>
          <w:iCs/>
        </w:rPr>
        <w:t>With regard to</w:t>
      </w:r>
      <w:r w:rsidRPr="00155565">
        <w:rPr>
          <w:rFonts w:cstheme="minorHAnsi"/>
          <w:bCs/>
          <w:iCs/>
        </w:rPr>
        <w:t xml:space="preserve"> working balances, and as detailed in </w:t>
      </w:r>
      <w:r w:rsidRPr="00155565">
        <w:rPr>
          <w:rFonts w:cstheme="minorHAnsi"/>
          <w:b/>
          <w:bCs/>
          <w:iCs/>
        </w:rPr>
        <w:t>Appendix 3</w:t>
      </w:r>
      <w:r w:rsidRPr="00155565">
        <w:rPr>
          <w:rFonts w:cstheme="minorHAnsi"/>
          <w:bCs/>
          <w:iCs/>
        </w:rPr>
        <w:t>, the Council holds a £4.1m General Fund balance to manage budget risks not covered by earmarked reserves or provisions. The outturn for 2021/22 shows a projected General Fund closing balance of £4.</w:t>
      </w:r>
      <w:r w:rsidR="00127488">
        <w:rPr>
          <w:rFonts w:cstheme="minorHAnsi"/>
          <w:bCs/>
          <w:iCs/>
        </w:rPr>
        <w:t>234</w:t>
      </w:r>
      <w:r w:rsidRPr="00155565">
        <w:rPr>
          <w:rFonts w:cstheme="minorHAnsi"/>
          <w:bCs/>
          <w:iCs/>
        </w:rPr>
        <w:t>m as de</w:t>
      </w:r>
      <w:r w:rsidRPr="00155565">
        <w:rPr>
          <w:rFonts w:cstheme="minorHAnsi"/>
          <w:bCs/>
          <w:iCs/>
        </w:rPr>
        <w:t>tailed below.</w:t>
      </w:r>
    </w:p>
    <w:p w14:paraId="451BD023" w14:textId="77777777" w:rsidR="00925937" w:rsidRPr="00541E07" w:rsidRDefault="00925937" w:rsidP="00C3608F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24" w14:textId="77777777" w:rsidR="00925937" w:rsidRPr="00541E07" w:rsidRDefault="00925937" w:rsidP="000D5F09">
      <w:pPr>
        <w:spacing w:after="0" w:line="240" w:lineRule="auto"/>
        <w:ind w:left="360"/>
        <w:jc w:val="both"/>
        <w:rPr>
          <w:rFonts w:cstheme="minorHAnsi"/>
          <w:bCs/>
          <w:iCs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701"/>
      </w:tblGrid>
      <w:tr w:rsidR="00FF1BE2" w14:paraId="451BD027" w14:textId="77777777" w:rsidTr="00064238"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14:paraId="451BD025" w14:textId="77777777" w:rsidR="00837C0A" w:rsidRPr="00952E49" w:rsidRDefault="00B96555" w:rsidP="00837C0A">
            <w:pPr>
              <w:spacing w:after="0" w:line="240" w:lineRule="auto"/>
              <w:rPr>
                <w:b/>
                <w:bCs/>
                <w:szCs w:val="18"/>
              </w:rPr>
            </w:pPr>
            <w:r w:rsidRPr="00952E49">
              <w:rPr>
                <w:b/>
                <w:bCs/>
                <w:szCs w:val="18"/>
              </w:rPr>
              <w:t>Summary of Movement in General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1BD026" w14:textId="77777777" w:rsidR="00837C0A" w:rsidRPr="00952E49" w:rsidRDefault="00B96555" w:rsidP="00837C0A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952E49">
              <w:rPr>
                <w:b/>
                <w:bCs/>
                <w:szCs w:val="18"/>
              </w:rPr>
              <w:t>£m</w:t>
            </w:r>
          </w:p>
        </w:tc>
      </w:tr>
      <w:tr w:rsidR="00FF1BE2" w14:paraId="451BD02A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28" w14:textId="77777777" w:rsidR="00837C0A" w:rsidRPr="00952E49" w:rsidRDefault="00B96555" w:rsidP="00837C0A">
            <w:pPr>
              <w:spacing w:after="0" w:line="240" w:lineRule="auto"/>
              <w:rPr>
                <w:szCs w:val="18"/>
              </w:rPr>
            </w:pPr>
            <w:r w:rsidRPr="00952E49">
              <w:rPr>
                <w:szCs w:val="18"/>
              </w:rPr>
              <w:t>General Fund Reserves as at 1</w:t>
            </w:r>
            <w:r w:rsidRPr="00952E49">
              <w:rPr>
                <w:szCs w:val="18"/>
                <w:vertAlign w:val="superscript"/>
              </w:rPr>
              <w:t>st</w:t>
            </w:r>
            <w:r w:rsidRPr="00952E49"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14:paraId="451BD029" w14:textId="77777777" w:rsidR="00837C0A" w:rsidRPr="00952E49" w:rsidRDefault="00B96555" w:rsidP="00837C0A">
            <w:pPr>
              <w:spacing w:after="0" w:line="240" w:lineRule="auto"/>
              <w:jc w:val="right"/>
              <w:rPr>
                <w:szCs w:val="18"/>
              </w:rPr>
            </w:pPr>
            <w:r w:rsidRPr="00952E49">
              <w:rPr>
                <w:szCs w:val="18"/>
              </w:rPr>
              <w:t>(4.141)</w:t>
            </w:r>
          </w:p>
        </w:tc>
      </w:tr>
      <w:tr w:rsidR="00FF1BE2" w14:paraId="451BD02D" w14:textId="77777777" w:rsidTr="00064238"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451BD02B" w14:textId="77777777" w:rsidR="00837C0A" w:rsidRPr="00B7654A" w:rsidRDefault="00B96555" w:rsidP="00837C0A">
            <w:pPr>
              <w:spacing w:after="0" w:line="240" w:lineRule="auto"/>
              <w:rPr>
                <w:szCs w:val="18"/>
              </w:rPr>
            </w:pPr>
            <w:r w:rsidRPr="00B7654A">
              <w:rPr>
                <w:szCs w:val="18"/>
              </w:rPr>
              <w:t>Outturn r</w:t>
            </w:r>
            <w:r w:rsidR="004C7497" w:rsidRPr="00B7654A">
              <w:rPr>
                <w:szCs w:val="18"/>
              </w:rPr>
              <w:t>evenue budget (surplus) / deficit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1BD02C" w14:textId="77777777" w:rsidR="00837C0A" w:rsidRPr="00B7654A" w:rsidRDefault="00B96555" w:rsidP="00837C0A">
            <w:pPr>
              <w:spacing w:after="0" w:line="240" w:lineRule="auto"/>
              <w:jc w:val="right"/>
              <w:rPr>
                <w:szCs w:val="18"/>
              </w:rPr>
            </w:pPr>
            <w:r w:rsidRPr="00B7654A">
              <w:rPr>
                <w:szCs w:val="18"/>
              </w:rPr>
              <w:t>(</w:t>
            </w:r>
            <w:r w:rsidR="00952E49" w:rsidRPr="00B7654A">
              <w:rPr>
                <w:szCs w:val="18"/>
              </w:rPr>
              <w:t>0</w:t>
            </w:r>
            <w:r w:rsidR="00133753" w:rsidRPr="00B7654A">
              <w:rPr>
                <w:szCs w:val="18"/>
              </w:rPr>
              <w:t>.</w:t>
            </w:r>
            <w:r w:rsidR="00B7654A" w:rsidRPr="00B7654A">
              <w:rPr>
                <w:szCs w:val="18"/>
              </w:rPr>
              <w:t>484</w:t>
            </w:r>
            <w:r w:rsidRPr="00B7654A">
              <w:rPr>
                <w:szCs w:val="18"/>
              </w:rPr>
              <w:t>)</w:t>
            </w:r>
          </w:p>
        </w:tc>
      </w:tr>
      <w:tr w:rsidR="00FF1BE2" w14:paraId="451BD030" w14:textId="77777777" w:rsidTr="00064238"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451BD02E" w14:textId="77777777" w:rsidR="00133753" w:rsidRPr="00B7654A" w:rsidRDefault="00B96555" w:rsidP="00837C0A">
            <w:pPr>
              <w:spacing w:after="0" w:line="240" w:lineRule="auto"/>
              <w:rPr>
                <w:szCs w:val="18"/>
              </w:rPr>
            </w:pPr>
            <w:r w:rsidRPr="00B7654A">
              <w:rPr>
                <w:szCs w:val="18"/>
              </w:rPr>
              <w:t>Movement to other reserves as detailed in point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1BD02F" w14:textId="77777777" w:rsidR="00133753" w:rsidRPr="00B7654A" w:rsidRDefault="00B96555" w:rsidP="00837C0A">
            <w:pPr>
              <w:spacing w:after="0" w:line="240" w:lineRule="auto"/>
              <w:jc w:val="right"/>
              <w:rPr>
                <w:szCs w:val="18"/>
              </w:rPr>
            </w:pPr>
            <w:r w:rsidRPr="00B7654A">
              <w:rPr>
                <w:szCs w:val="18"/>
              </w:rPr>
              <w:t>0.484</w:t>
            </w:r>
          </w:p>
        </w:tc>
      </w:tr>
      <w:tr w:rsidR="00FF1BE2" w14:paraId="451BD033" w14:textId="77777777" w:rsidTr="00064238"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BD031" w14:textId="77777777" w:rsidR="00837C0A" w:rsidRPr="00B7654A" w:rsidRDefault="00B96555" w:rsidP="00837C0A">
            <w:pPr>
              <w:spacing w:after="0" w:line="240" w:lineRule="auto"/>
              <w:rPr>
                <w:b/>
                <w:bCs/>
                <w:szCs w:val="18"/>
              </w:rPr>
            </w:pPr>
            <w:r w:rsidRPr="00B7654A">
              <w:rPr>
                <w:b/>
                <w:bCs/>
                <w:szCs w:val="18"/>
              </w:rPr>
              <w:t xml:space="preserve">General Reserve Closing </w:t>
            </w:r>
            <w:r w:rsidRPr="00B7654A">
              <w:rPr>
                <w:b/>
                <w:bCs/>
                <w:szCs w:val="18"/>
              </w:rPr>
              <w:t>Balance 2021/22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BD032" w14:textId="77777777" w:rsidR="00837C0A" w:rsidRPr="00B7654A" w:rsidRDefault="00B96555" w:rsidP="00837C0A">
            <w:pPr>
              <w:spacing w:after="0" w:line="240" w:lineRule="auto"/>
              <w:jc w:val="right"/>
              <w:rPr>
                <w:b/>
                <w:bCs/>
                <w:szCs w:val="18"/>
              </w:rPr>
            </w:pPr>
            <w:r w:rsidRPr="00B7654A">
              <w:rPr>
                <w:b/>
                <w:bCs/>
                <w:szCs w:val="18"/>
              </w:rPr>
              <w:t>(4.</w:t>
            </w:r>
            <w:r w:rsidR="00B7654A" w:rsidRPr="00B7654A">
              <w:rPr>
                <w:b/>
                <w:bCs/>
                <w:szCs w:val="18"/>
              </w:rPr>
              <w:t>141</w:t>
            </w:r>
            <w:r w:rsidRPr="00B7654A">
              <w:rPr>
                <w:b/>
                <w:bCs/>
                <w:szCs w:val="18"/>
              </w:rPr>
              <w:t>)</w:t>
            </w:r>
          </w:p>
        </w:tc>
      </w:tr>
    </w:tbl>
    <w:p w14:paraId="451BD034" w14:textId="77777777" w:rsidR="000D5F09" w:rsidRPr="00541E07" w:rsidRDefault="000D5F09" w:rsidP="00506414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35" w14:textId="77777777" w:rsidR="00506414" w:rsidRPr="00541E07" w:rsidRDefault="00506414" w:rsidP="00506414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36" w14:textId="77777777" w:rsidR="00837C0A" w:rsidRPr="00830E2D" w:rsidRDefault="00B96555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30E2D">
        <w:rPr>
          <w:rFonts w:cstheme="minorHAnsi"/>
          <w:b/>
          <w:bCs/>
          <w:iCs/>
        </w:rPr>
        <w:t>Appendix 3</w:t>
      </w:r>
      <w:r w:rsidRPr="00830E2D">
        <w:rPr>
          <w:rFonts w:cstheme="minorHAnsi"/>
          <w:bCs/>
          <w:iCs/>
        </w:rPr>
        <w:t xml:space="preserve"> provides further information about the specific earmarked reserves and provisions available for use throughout 2021/22.</w:t>
      </w:r>
      <w:r>
        <w:rPr>
          <w:rFonts w:cstheme="minorHAnsi"/>
          <w:bCs/>
          <w:iCs/>
        </w:rPr>
        <w:t xml:space="preserve"> </w:t>
      </w:r>
    </w:p>
    <w:p w14:paraId="451BD037" w14:textId="77777777" w:rsidR="00B83DFF" w:rsidRPr="00127488" w:rsidRDefault="00B83DFF" w:rsidP="00B83DFF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14:paraId="451BD038" w14:textId="77777777" w:rsidR="00B83DFF" w:rsidRPr="00127488" w:rsidRDefault="00B96555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27488">
        <w:rPr>
          <w:rFonts w:cstheme="minorHAnsi"/>
          <w:bCs/>
          <w:iCs/>
        </w:rPr>
        <w:t xml:space="preserve">Taking account of the adjustments highlighted in </w:t>
      </w:r>
      <w:r w:rsidRPr="00127488">
        <w:rPr>
          <w:rFonts w:cstheme="minorHAnsi"/>
          <w:b/>
          <w:bCs/>
          <w:iCs/>
        </w:rPr>
        <w:t>Appendix 3</w:t>
      </w:r>
      <w:r w:rsidRPr="00127488">
        <w:rPr>
          <w:rFonts w:cstheme="minorHAnsi"/>
          <w:bCs/>
          <w:iCs/>
        </w:rPr>
        <w:t xml:space="preserve">, the level of Earmarked reserves held for discretionary use by the </w:t>
      </w:r>
      <w:r w:rsidRPr="00127488">
        <w:rPr>
          <w:rFonts w:cstheme="minorHAnsi"/>
          <w:bCs/>
          <w:iCs/>
        </w:rPr>
        <w:t>Council at 31</w:t>
      </w:r>
      <w:r w:rsidRPr="00127488">
        <w:rPr>
          <w:rFonts w:cstheme="minorHAnsi"/>
          <w:bCs/>
          <w:iCs/>
          <w:vertAlign w:val="superscript"/>
        </w:rPr>
        <w:t>st</w:t>
      </w:r>
      <w:r w:rsidRPr="00127488">
        <w:rPr>
          <w:rFonts w:cstheme="minorHAnsi"/>
          <w:bCs/>
          <w:iCs/>
        </w:rPr>
        <w:t xml:space="preserve"> March 2022 is £1</w:t>
      </w:r>
      <w:r w:rsidR="00127488" w:rsidRPr="00127488">
        <w:rPr>
          <w:rFonts w:cstheme="minorHAnsi"/>
          <w:bCs/>
          <w:iCs/>
        </w:rPr>
        <w:t>6</w:t>
      </w:r>
      <w:r w:rsidRPr="00127488">
        <w:rPr>
          <w:rFonts w:cstheme="minorHAnsi"/>
          <w:bCs/>
          <w:iCs/>
        </w:rPr>
        <w:t>.</w:t>
      </w:r>
      <w:r w:rsidR="00E06364">
        <w:rPr>
          <w:rFonts w:cstheme="minorHAnsi"/>
          <w:bCs/>
          <w:iCs/>
        </w:rPr>
        <w:t>538</w:t>
      </w:r>
      <w:r w:rsidRPr="00127488">
        <w:rPr>
          <w:rFonts w:cstheme="minorHAnsi"/>
          <w:bCs/>
          <w:iCs/>
        </w:rPr>
        <w:t xml:space="preserve">m compared to a balance of £23.007m </w:t>
      </w:r>
      <w:r w:rsidRPr="00C44C1F">
        <w:rPr>
          <w:rFonts w:cstheme="minorHAnsi"/>
          <w:bCs/>
          <w:iCs/>
        </w:rPr>
        <w:t>at 31</w:t>
      </w:r>
      <w:r w:rsidRPr="00C44C1F">
        <w:rPr>
          <w:rFonts w:cstheme="minorHAnsi"/>
          <w:bCs/>
          <w:iCs/>
          <w:vertAlign w:val="superscript"/>
        </w:rPr>
        <w:t>st</w:t>
      </w:r>
      <w:r w:rsidRPr="00C44C1F">
        <w:rPr>
          <w:rFonts w:cstheme="minorHAnsi"/>
          <w:bCs/>
          <w:iCs/>
        </w:rPr>
        <w:t xml:space="preserve"> March 202</w:t>
      </w:r>
      <w:r w:rsidR="00C44C1F" w:rsidRPr="00C44C1F">
        <w:rPr>
          <w:rFonts w:cstheme="minorHAnsi"/>
          <w:bCs/>
          <w:iCs/>
        </w:rPr>
        <w:t>1</w:t>
      </w:r>
      <w:r w:rsidRPr="00C44C1F">
        <w:rPr>
          <w:rFonts w:cstheme="minorHAnsi"/>
          <w:bCs/>
          <w:iCs/>
        </w:rPr>
        <w:t>.</w:t>
      </w:r>
    </w:p>
    <w:p w14:paraId="451BD039" w14:textId="77777777" w:rsidR="007815C3" w:rsidRPr="00541E07" w:rsidRDefault="007815C3" w:rsidP="00E24AE3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701"/>
      </w:tblGrid>
      <w:tr w:rsidR="00FF1BE2" w14:paraId="451BD03C" w14:textId="77777777" w:rsidTr="00064238"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14:paraId="451BD03A" w14:textId="77777777" w:rsidR="00B924B8" w:rsidRPr="00B13D13" w:rsidRDefault="00B96555" w:rsidP="00341259">
            <w:pPr>
              <w:spacing w:after="0" w:line="240" w:lineRule="auto"/>
              <w:rPr>
                <w:b/>
                <w:bCs/>
                <w:szCs w:val="18"/>
              </w:rPr>
            </w:pPr>
            <w:r w:rsidRPr="00B13D13">
              <w:rPr>
                <w:b/>
                <w:bCs/>
                <w:szCs w:val="18"/>
              </w:rPr>
              <w:t>Summary of Movement in Earmarked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1BD03B" w14:textId="77777777" w:rsidR="00B924B8" w:rsidRPr="00B13D13" w:rsidRDefault="00B96555" w:rsidP="00341259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B13D13">
              <w:rPr>
                <w:b/>
                <w:bCs/>
                <w:szCs w:val="18"/>
              </w:rPr>
              <w:t>£m</w:t>
            </w:r>
          </w:p>
        </w:tc>
      </w:tr>
      <w:tr w:rsidR="00FF1BE2" w14:paraId="451BD03F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3D" w14:textId="77777777" w:rsidR="00B924B8" w:rsidRPr="00B13D13" w:rsidRDefault="00B96555" w:rsidP="00341259">
            <w:pPr>
              <w:spacing w:after="0" w:line="240" w:lineRule="auto"/>
              <w:rPr>
                <w:szCs w:val="18"/>
              </w:rPr>
            </w:pPr>
            <w:r w:rsidRPr="00B13D13">
              <w:rPr>
                <w:szCs w:val="18"/>
              </w:rPr>
              <w:t>Earmarked Reserves as at 1</w:t>
            </w:r>
            <w:r w:rsidRPr="00B13D13">
              <w:rPr>
                <w:szCs w:val="18"/>
                <w:vertAlign w:val="superscript"/>
              </w:rPr>
              <w:t>st</w:t>
            </w:r>
            <w:r w:rsidRPr="00B13D13"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14:paraId="451BD03E" w14:textId="77777777" w:rsidR="00B924B8" w:rsidRPr="00B13D13" w:rsidRDefault="00B96555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B13D13">
              <w:rPr>
                <w:szCs w:val="18"/>
              </w:rPr>
              <w:t>(23.007)</w:t>
            </w:r>
          </w:p>
        </w:tc>
      </w:tr>
      <w:tr w:rsidR="00FF1BE2" w14:paraId="451BD042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40" w14:textId="77777777" w:rsidR="00C76D29" w:rsidRPr="00952E49" w:rsidRDefault="00B96555" w:rsidP="00341259">
            <w:pPr>
              <w:spacing w:after="0" w:line="240" w:lineRule="auto"/>
              <w:rPr>
                <w:szCs w:val="18"/>
              </w:rPr>
            </w:pPr>
            <w:r w:rsidRPr="00952E49">
              <w:rPr>
                <w:szCs w:val="18"/>
              </w:rPr>
              <w:t>Use of revenue reserves for capital financing</w:t>
            </w:r>
          </w:p>
        </w:tc>
        <w:tc>
          <w:tcPr>
            <w:tcW w:w="1701" w:type="dxa"/>
            <w:vAlign w:val="center"/>
          </w:tcPr>
          <w:p w14:paraId="451BD041" w14:textId="77777777" w:rsidR="00EB725A" w:rsidRPr="00952E49" w:rsidRDefault="00B96555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952E49">
              <w:rPr>
                <w:szCs w:val="18"/>
              </w:rPr>
              <w:t>2.615</w:t>
            </w:r>
          </w:p>
        </w:tc>
      </w:tr>
      <w:tr w:rsidR="00FF1BE2" w14:paraId="451BD045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43" w14:textId="77777777" w:rsidR="00EB725A" w:rsidRPr="00C25C4D" w:rsidRDefault="00B96555" w:rsidP="00341259">
            <w:pPr>
              <w:spacing w:after="0" w:line="240" w:lineRule="auto"/>
              <w:rPr>
                <w:szCs w:val="18"/>
              </w:rPr>
            </w:pPr>
            <w:r w:rsidRPr="00C25C4D">
              <w:rPr>
                <w:szCs w:val="18"/>
              </w:rPr>
              <w:t xml:space="preserve">Release of S31 grant received in 2020/21 (and held in reserves) in respect of Business Rates reliefs </w:t>
            </w:r>
            <w:r w:rsidR="00CA467F" w:rsidRPr="00C25C4D">
              <w:rPr>
                <w:szCs w:val="18"/>
              </w:rPr>
              <w:t>provided to businesses</w:t>
            </w:r>
            <w:r w:rsidRPr="00C25C4D">
              <w:rPr>
                <w:szCs w:val="18"/>
              </w:rPr>
              <w:t xml:space="preserve"> by the government – this </w:t>
            </w:r>
            <w:r w:rsidR="00316D94" w:rsidRPr="00C25C4D">
              <w:rPr>
                <w:szCs w:val="18"/>
              </w:rPr>
              <w:t xml:space="preserve">is offset against the </w:t>
            </w:r>
            <w:r w:rsidRPr="00C25C4D">
              <w:rPr>
                <w:szCs w:val="18"/>
              </w:rPr>
              <w:t>deficit brought forward on the Collection Fund</w:t>
            </w:r>
          </w:p>
        </w:tc>
        <w:tc>
          <w:tcPr>
            <w:tcW w:w="1701" w:type="dxa"/>
            <w:vAlign w:val="center"/>
          </w:tcPr>
          <w:p w14:paraId="451BD044" w14:textId="77777777" w:rsidR="00EB725A" w:rsidRPr="00C25C4D" w:rsidRDefault="00B96555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C25C4D">
              <w:rPr>
                <w:szCs w:val="18"/>
              </w:rPr>
              <w:t>4.890</w:t>
            </w:r>
          </w:p>
        </w:tc>
      </w:tr>
      <w:tr w:rsidR="00FF1BE2" w14:paraId="451BD048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46" w14:textId="77777777" w:rsidR="00F358E1" w:rsidRPr="00C25C4D" w:rsidRDefault="00B96555" w:rsidP="00341259">
            <w:pPr>
              <w:spacing w:after="0" w:line="240" w:lineRule="auto"/>
              <w:rPr>
                <w:szCs w:val="18"/>
              </w:rPr>
            </w:pPr>
            <w:r w:rsidRPr="00C25C4D">
              <w:rPr>
                <w:szCs w:val="18"/>
              </w:rPr>
              <w:t>Movements to Reserves as detail</w:t>
            </w:r>
            <w:r w:rsidRPr="00C25C4D">
              <w:rPr>
                <w:szCs w:val="18"/>
              </w:rPr>
              <w:t>ed in point 4</w:t>
            </w:r>
          </w:p>
        </w:tc>
        <w:tc>
          <w:tcPr>
            <w:tcW w:w="1701" w:type="dxa"/>
            <w:vAlign w:val="center"/>
          </w:tcPr>
          <w:p w14:paraId="451BD047" w14:textId="77777777" w:rsidR="00F358E1" w:rsidRPr="00E06364" w:rsidRDefault="00B96555" w:rsidP="00B7654A">
            <w:pPr>
              <w:spacing w:after="0" w:line="240" w:lineRule="auto"/>
              <w:jc w:val="right"/>
              <w:rPr>
                <w:szCs w:val="18"/>
              </w:rPr>
            </w:pPr>
            <w:r w:rsidRPr="00E06364">
              <w:rPr>
                <w:szCs w:val="18"/>
              </w:rPr>
              <w:t>(0.484)</w:t>
            </w:r>
          </w:p>
        </w:tc>
      </w:tr>
      <w:tr w:rsidR="00FF1BE2" w14:paraId="451BD04B" w14:textId="77777777" w:rsidTr="00064238">
        <w:trPr>
          <w:trHeight w:val="340"/>
        </w:trPr>
        <w:tc>
          <w:tcPr>
            <w:tcW w:w="6124" w:type="dxa"/>
            <w:vAlign w:val="center"/>
          </w:tcPr>
          <w:p w14:paraId="451BD049" w14:textId="77777777" w:rsidR="00C76D29" w:rsidRPr="00127488" w:rsidRDefault="00B96555" w:rsidP="00341259">
            <w:pPr>
              <w:spacing w:after="0" w:line="240" w:lineRule="auto"/>
              <w:rPr>
                <w:szCs w:val="18"/>
              </w:rPr>
            </w:pPr>
            <w:r w:rsidRPr="00127488">
              <w:rPr>
                <w:szCs w:val="18"/>
              </w:rPr>
              <w:t>Transfer to Reserves</w:t>
            </w:r>
          </w:p>
        </w:tc>
        <w:tc>
          <w:tcPr>
            <w:tcW w:w="1701" w:type="dxa"/>
            <w:vAlign w:val="center"/>
          </w:tcPr>
          <w:p w14:paraId="451BD04A" w14:textId="77777777" w:rsidR="00C3608F" w:rsidRPr="00E06364" w:rsidRDefault="00B96555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E06364">
              <w:rPr>
                <w:szCs w:val="18"/>
              </w:rPr>
              <w:t>(1</w:t>
            </w:r>
            <w:r w:rsidR="00127488" w:rsidRPr="00E06364">
              <w:rPr>
                <w:szCs w:val="18"/>
              </w:rPr>
              <w:t>.</w:t>
            </w:r>
            <w:r w:rsidR="00C25C4D" w:rsidRPr="00E06364">
              <w:rPr>
                <w:szCs w:val="18"/>
              </w:rPr>
              <w:t>480</w:t>
            </w:r>
            <w:r w:rsidRPr="00E06364">
              <w:rPr>
                <w:szCs w:val="18"/>
              </w:rPr>
              <w:t>)</w:t>
            </w:r>
          </w:p>
        </w:tc>
      </w:tr>
      <w:tr w:rsidR="00FF1BE2" w14:paraId="451BD04E" w14:textId="77777777" w:rsidTr="00064238"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14:paraId="451BD04C" w14:textId="77777777" w:rsidR="00C76D29" w:rsidRPr="00127488" w:rsidRDefault="00B96555" w:rsidP="00341259">
            <w:pPr>
              <w:spacing w:after="0" w:line="240" w:lineRule="auto"/>
              <w:rPr>
                <w:szCs w:val="18"/>
              </w:rPr>
            </w:pPr>
            <w:r w:rsidRPr="00127488">
              <w:rPr>
                <w:szCs w:val="18"/>
              </w:rPr>
              <w:t>U</w:t>
            </w:r>
            <w:r w:rsidR="004C7497" w:rsidRPr="00127488">
              <w:rPr>
                <w:szCs w:val="18"/>
              </w:rPr>
              <w:t>se</w:t>
            </w:r>
            <w:r w:rsidR="005268CF">
              <w:rPr>
                <w:szCs w:val="18"/>
              </w:rPr>
              <w:t xml:space="preserve"> of </w:t>
            </w:r>
            <w:r w:rsidR="0067111E" w:rsidRPr="00127488">
              <w:rPr>
                <w:szCs w:val="18"/>
              </w:rPr>
              <w:t>/</w:t>
            </w:r>
            <w:r w:rsidR="005268CF">
              <w:rPr>
                <w:szCs w:val="18"/>
              </w:rPr>
              <w:t>(</w:t>
            </w:r>
            <w:r w:rsidR="0067111E" w:rsidRPr="00127488">
              <w:rPr>
                <w:szCs w:val="18"/>
              </w:rPr>
              <w:t>increase</w:t>
            </w:r>
            <w:r w:rsidR="005268CF">
              <w:rPr>
                <w:szCs w:val="18"/>
              </w:rPr>
              <w:t>) in</w:t>
            </w:r>
            <w:r w:rsidR="004C7497" w:rsidRPr="00127488">
              <w:rPr>
                <w:szCs w:val="18"/>
              </w:rPr>
              <w:t xml:space="preserve"> </w:t>
            </w:r>
            <w:r w:rsidR="005268CF">
              <w:rPr>
                <w:szCs w:val="18"/>
              </w:rPr>
              <w:t>O</w:t>
            </w:r>
            <w:r w:rsidR="004C7497" w:rsidRPr="00127488">
              <w:rPr>
                <w:szCs w:val="18"/>
              </w:rPr>
              <w:t xml:space="preserve">ther </w:t>
            </w:r>
            <w:r w:rsidR="005268CF">
              <w:rPr>
                <w:szCs w:val="18"/>
              </w:rPr>
              <w:t>E</w:t>
            </w:r>
            <w:r w:rsidR="004C7497" w:rsidRPr="00127488">
              <w:rPr>
                <w:szCs w:val="18"/>
              </w:rPr>
              <w:t xml:space="preserve">armarked </w:t>
            </w:r>
            <w:r w:rsidR="005268CF">
              <w:rPr>
                <w:szCs w:val="18"/>
              </w:rPr>
              <w:t>R</w:t>
            </w:r>
            <w:r w:rsidR="004C7497" w:rsidRPr="00127488">
              <w:rPr>
                <w:szCs w:val="18"/>
              </w:rPr>
              <w:t>eserves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1BD04D" w14:textId="77777777" w:rsidR="00B924B8" w:rsidRPr="00127488" w:rsidRDefault="00B96555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127488">
              <w:rPr>
                <w:szCs w:val="18"/>
              </w:rPr>
              <w:t>0.</w:t>
            </w:r>
            <w:r w:rsidR="00127488" w:rsidRPr="00127488">
              <w:rPr>
                <w:szCs w:val="18"/>
              </w:rPr>
              <w:t>928</w:t>
            </w:r>
          </w:p>
        </w:tc>
      </w:tr>
      <w:tr w:rsidR="00FF1BE2" w14:paraId="451BD051" w14:textId="77777777" w:rsidTr="00064238"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BD04F" w14:textId="77777777" w:rsidR="00B924B8" w:rsidRPr="00155565" w:rsidRDefault="00B96555" w:rsidP="00341259">
            <w:pPr>
              <w:spacing w:after="0" w:line="240" w:lineRule="auto"/>
              <w:rPr>
                <w:b/>
                <w:bCs/>
                <w:szCs w:val="18"/>
              </w:rPr>
            </w:pPr>
            <w:r w:rsidRPr="00155565">
              <w:rPr>
                <w:b/>
                <w:bCs/>
                <w:szCs w:val="18"/>
              </w:rPr>
              <w:t>Earmarked Reserves Closing Balance 2021/22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BD050" w14:textId="77777777" w:rsidR="00B924B8" w:rsidRPr="00155565" w:rsidRDefault="00B96555" w:rsidP="00341259">
            <w:pPr>
              <w:spacing w:after="0" w:line="240" w:lineRule="auto"/>
              <w:jc w:val="right"/>
              <w:rPr>
                <w:b/>
                <w:bCs/>
                <w:szCs w:val="18"/>
              </w:rPr>
            </w:pPr>
            <w:r w:rsidRPr="00155565">
              <w:rPr>
                <w:b/>
                <w:bCs/>
                <w:szCs w:val="18"/>
              </w:rPr>
              <w:t>(</w:t>
            </w:r>
            <w:r w:rsidR="0067111E" w:rsidRPr="00155565">
              <w:rPr>
                <w:b/>
                <w:bCs/>
                <w:szCs w:val="18"/>
              </w:rPr>
              <w:t>1</w:t>
            </w:r>
            <w:r w:rsidR="00155565" w:rsidRPr="00155565">
              <w:rPr>
                <w:b/>
                <w:bCs/>
                <w:szCs w:val="18"/>
              </w:rPr>
              <w:t>6</w:t>
            </w:r>
            <w:r w:rsidR="0067111E" w:rsidRPr="00155565">
              <w:rPr>
                <w:b/>
                <w:bCs/>
                <w:szCs w:val="18"/>
              </w:rPr>
              <w:t>.</w:t>
            </w:r>
            <w:r w:rsidR="00C25C4D">
              <w:rPr>
                <w:b/>
                <w:bCs/>
                <w:szCs w:val="18"/>
              </w:rPr>
              <w:t>538</w:t>
            </w:r>
            <w:r w:rsidRPr="00155565">
              <w:rPr>
                <w:b/>
                <w:bCs/>
                <w:szCs w:val="18"/>
              </w:rPr>
              <w:t>)</w:t>
            </w:r>
          </w:p>
        </w:tc>
      </w:tr>
    </w:tbl>
    <w:p w14:paraId="451BD052" w14:textId="77777777" w:rsidR="00E24AE3" w:rsidRPr="00541E07" w:rsidRDefault="00E24AE3" w:rsidP="00E24AE3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53" w14:textId="77777777" w:rsidR="0071652D" w:rsidRPr="00541E07" w:rsidRDefault="0071652D" w:rsidP="00E24AE3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54" w14:textId="77777777" w:rsidR="00127488" w:rsidRDefault="00B96555" w:rsidP="0012748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="Arial"/>
        </w:rPr>
      </w:pPr>
      <w:r w:rsidRPr="00636942">
        <w:rPr>
          <w:rFonts w:cs="Arial"/>
        </w:rPr>
        <w:t>The £0.</w:t>
      </w:r>
      <w:r>
        <w:rPr>
          <w:rFonts w:cs="Arial"/>
        </w:rPr>
        <w:t>928</w:t>
      </w:r>
      <w:r w:rsidRPr="00636942">
        <w:rPr>
          <w:rFonts w:cs="Arial"/>
        </w:rPr>
        <w:t xml:space="preserve">m use of </w:t>
      </w:r>
      <w:r w:rsidR="005268CF">
        <w:rPr>
          <w:rFonts w:cs="Arial"/>
        </w:rPr>
        <w:t>O</w:t>
      </w:r>
      <w:r w:rsidRPr="00636942">
        <w:rPr>
          <w:rFonts w:cs="Arial"/>
        </w:rPr>
        <w:t xml:space="preserve">ther </w:t>
      </w:r>
      <w:r w:rsidR="005268CF">
        <w:rPr>
          <w:rFonts w:cs="Arial"/>
        </w:rPr>
        <w:t>E</w:t>
      </w:r>
      <w:r w:rsidRPr="00636942">
        <w:rPr>
          <w:rFonts w:cs="Arial"/>
        </w:rPr>
        <w:t>armarked reserves shown in the table above includes the following items:</w:t>
      </w:r>
    </w:p>
    <w:p w14:paraId="451BD055" w14:textId="77777777" w:rsidR="00127488" w:rsidRPr="0004363C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t xml:space="preserve">£236k </w:t>
      </w:r>
      <w:r w:rsidR="005268CF">
        <w:rPr>
          <w:rFonts w:cstheme="minorHAnsi"/>
          <w:bCs/>
          <w:iCs/>
        </w:rPr>
        <w:t xml:space="preserve">taken </w:t>
      </w:r>
      <w:r w:rsidRPr="0004363C">
        <w:rPr>
          <w:rFonts w:cstheme="minorHAnsi"/>
          <w:bCs/>
          <w:iCs/>
        </w:rPr>
        <w:t>from the business rates retention reserve to address the additional pension contributions required in relation to 2020/21.</w:t>
      </w:r>
    </w:p>
    <w:p w14:paraId="451BD056" w14:textId="77777777" w:rsidR="00127488" w:rsidRPr="0004363C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t>£59k to fund costs associated with the local pla</w:t>
      </w:r>
      <w:r w:rsidRPr="0004363C">
        <w:rPr>
          <w:rFonts w:cstheme="minorHAnsi"/>
          <w:bCs/>
          <w:iCs/>
        </w:rPr>
        <w:t>n.</w:t>
      </w:r>
    </w:p>
    <w:p w14:paraId="451BD057" w14:textId="77777777" w:rsidR="0004363C" w:rsidRPr="0004363C" w:rsidRDefault="00B96555" w:rsidP="000436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="Arial"/>
        </w:rPr>
        <w:t xml:space="preserve">£153k use of specific reserves within </w:t>
      </w:r>
      <w:r>
        <w:rPr>
          <w:rFonts w:cs="Arial"/>
        </w:rPr>
        <w:t xml:space="preserve">the </w:t>
      </w:r>
      <w:r w:rsidRPr="0004363C">
        <w:rPr>
          <w:rFonts w:cs="Arial"/>
        </w:rPr>
        <w:t>Communities</w:t>
      </w:r>
      <w:r>
        <w:rPr>
          <w:rFonts w:cs="Arial"/>
        </w:rPr>
        <w:t xml:space="preserve"> directorate</w:t>
      </w:r>
      <w:r w:rsidR="00CA467F">
        <w:rPr>
          <w:rFonts w:cs="Arial"/>
        </w:rPr>
        <w:t>.</w:t>
      </w:r>
    </w:p>
    <w:p w14:paraId="451BD058" w14:textId="77777777" w:rsidR="0004363C" w:rsidRPr="0004363C" w:rsidRDefault="00B96555" w:rsidP="000436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t xml:space="preserve">£221k from the business grants reserve to contribute to the wider programme of support to businesses, </w:t>
      </w:r>
      <w:r>
        <w:rPr>
          <w:rFonts w:cstheme="minorHAnsi"/>
          <w:bCs/>
          <w:iCs/>
        </w:rPr>
        <w:t xml:space="preserve">alongside the </w:t>
      </w:r>
      <w:r w:rsidRPr="0004363C">
        <w:rPr>
          <w:rFonts w:cstheme="minorHAnsi"/>
          <w:bCs/>
          <w:iCs/>
        </w:rPr>
        <w:t>Covid Additional Restrictions Grant funding.</w:t>
      </w:r>
    </w:p>
    <w:p w14:paraId="451BD059" w14:textId="77777777" w:rsidR="0004363C" w:rsidRPr="0004363C" w:rsidRDefault="00B96555" w:rsidP="0004363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t xml:space="preserve">£93k use of specific reserves within </w:t>
      </w:r>
      <w:r>
        <w:rPr>
          <w:rFonts w:cstheme="minorHAnsi"/>
          <w:bCs/>
          <w:iCs/>
        </w:rPr>
        <w:t xml:space="preserve">the </w:t>
      </w:r>
      <w:r w:rsidRPr="0004363C">
        <w:rPr>
          <w:rFonts w:cstheme="minorHAnsi"/>
          <w:bCs/>
          <w:iCs/>
        </w:rPr>
        <w:t>Policy</w:t>
      </w:r>
      <w:r>
        <w:rPr>
          <w:rFonts w:cstheme="minorHAnsi"/>
          <w:bCs/>
          <w:iCs/>
        </w:rPr>
        <w:t xml:space="preserve"> directorate</w:t>
      </w:r>
    </w:p>
    <w:p w14:paraId="451BD05A" w14:textId="77777777" w:rsidR="00127488" w:rsidRPr="0004363C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t>£</w:t>
      </w:r>
      <w:r w:rsidR="0004363C" w:rsidRPr="0004363C">
        <w:rPr>
          <w:rFonts w:cstheme="minorHAnsi"/>
          <w:bCs/>
          <w:iCs/>
        </w:rPr>
        <w:t>45</w:t>
      </w:r>
      <w:r w:rsidRPr="0004363C">
        <w:rPr>
          <w:rFonts w:cstheme="minorHAnsi"/>
          <w:bCs/>
          <w:iCs/>
        </w:rPr>
        <w:t xml:space="preserve">k of funding carried forward to </w:t>
      </w:r>
      <w:r w:rsidRPr="0004363C">
        <w:rPr>
          <w:rFonts w:cstheme="minorHAnsi"/>
          <w:bCs/>
          <w:iCs/>
        </w:rPr>
        <w:t>be used for stock condition surveys for the Council</w:t>
      </w:r>
      <w:r>
        <w:rPr>
          <w:rFonts w:cstheme="minorHAnsi"/>
          <w:bCs/>
          <w:iCs/>
        </w:rPr>
        <w:t>’</w:t>
      </w:r>
      <w:r w:rsidRPr="0004363C">
        <w:rPr>
          <w:rFonts w:cstheme="minorHAnsi"/>
          <w:bCs/>
          <w:iCs/>
        </w:rPr>
        <w:t>s properties.</w:t>
      </w:r>
    </w:p>
    <w:p w14:paraId="451BD05B" w14:textId="77777777" w:rsidR="00127488" w:rsidRPr="0004363C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04363C">
        <w:rPr>
          <w:rFonts w:cstheme="minorHAnsi"/>
          <w:bCs/>
          <w:iCs/>
        </w:rPr>
        <w:lastRenderedPageBreak/>
        <w:t>The remainder of the movements are various, smaller adjustments related to revenue spending.</w:t>
      </w:r>
    </w:p>
    <w:p w14:paraId="451BD05C" w14:textId="77777777" w:rsidR="00127488" w:rsidRPr="00636942" w:rsidRDefault="00127488" w:rsidP="00127488">
      <w:pPr>
        <w:pStyle w:val="ListParagraph"/>
        <w:spacing w:after="200" w:line="276" w:lineRule="auto"/>
        <w:ind w:left="360"/>
        <w:jc w:val="both"/>
        <w:rPr>
          <w:rFonts w:cs="Arial"/>
        </w:rPr>
      </w:pPr>
    </w:p>
    <w:p w14:paraId="451BD05D" w14:textId="77777777" w:rsidR="00127488" w:rsidRDefault="00B96555" w:rsidP="001274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06364">
        <w:rPr>
          <w:rFonts w:cs="Arial"/>
        </w:rPr>
        <w:t>The transfers to reserves o</w:t>
      </w:r>
      <w:r w:rsidR="005268CF" w:rsidRPr="00E06364">
        <w:rPr>
          <w:rFonts w:cs="Arial"/>
        </w:rPr>
        <w:t>f £1</w:t>
      </w:r>
      <w:r w:rsidR="00E06364" w:rsidRPr="00E06364">
        <w:rPr>
          <w:rFonts w:cs="Arial"/>
        </w:rPr>
        <w:t>.480m</w:t>
      </w:r>
      <w:r w:rsidR="005268CF" w:rsidRPr="00E06364">
        <w:rPr>
          <w:rFonts w:cs="Arial"/>
        </w:rPr>
        <w:t xml:space="preserve"> comprise of those</w:t>
      </w:r>
      <w:r w:rsidRPr="00E06364">
        <w:rPr>
          <w:rFonts w:cs="Arial"/>
        </w:rPr>
        <w:t xml:space="preserve"> approved </w:t>
      </w:r>
      <w:r w:rsidR="005268CF" w:rsidRPr="00E06364">
        <w:rPr>
          <w:rFonts w:cs="Arial"/>
        </w:rPr>
        <w:t xml:space="preserve">in the last Revenue Monitoring report </w:t>
      </w:r>
      <w:r w:rsidRPr="00E06364">
        <w:rPr>
          <w:rFonts w:cs="Arial"/>
        </w:rPr>
        <w:t xml:space="preserve">at </w:t>
      </w:r>
      <w:r w:rsidR="005268CF" w:rsidRPr="00E06364">
        <w:rPr>
          <w:rFonts w:cs="Arial"/>
        </w:rPr>
        <w:t>M</w:t>
      </w:r>
      <w:r w:rsidR="0004363C" w:rsidRPr="00E06364">
        <w:rPr>
          <w:rFonts w:cs="Arial"/>
        </w:rPr>
        <w:t>onth 10</w:t>
      </w:r>
      <w:r w:rsidRPr="00E06364">
        <w:rPr>
          <w:rFonts w:cs="Arial"/>
        </w:rPr>
        <w:t xml:space="preserve"> of £</w:t>
      </w:r>
      <w:r w:rsidR="000C4D64" w:rsidRPr="00E06364">
        <w:rPr>
          <w:rFonts w:cs="Arial"/>
        </w:rPr>
        <w:t>1.030</w:t>
      </w:r>
      <w:r w:rsidRPr="00E06364">
        <w:rPr>
          <w:rFonts w:cs="Arial"/>
        </w:rPr>
        <w:t>m</w:t>
      </w:r>
      <w:r w:rsidR="00E06364" w:rsidRPr="00E06364">
        <w:rPr>
          <w:rFonts w:cs="Arial"/>
        </w:rPr>
        <w:t xml:space="preserve"> </w:t>
      </w:r>
      <w:r w:rsidR="0004363C" w:rsidRPr="00E06364">
        <w:rPr>
          <w:rFonts w:cs="Arial"/>
        </w:rPr>
        <w:t xml:space="preserve">and </w:t>
      </w:r>
      <w:r w:rsidRPr="00E06364">
        <w:rPr>
          <w:rFonts w:cs="Arial"/>
        </w:rPr>
        <w:t>others as listed below</w:t>
      </w:r>
      <w:r w:rsidRPr="00471C00">
        <w:rPr>
          <w:rFonts w:cs="Arial"/>
        </w:rPr>
        <w:t>.</w:t>
      </w:r>
    </w:p>
    <w:p w14:paraId="451BD05E" w14:textId="77777777" w:rsidR="0004363C" w:rsidRPr="00AC1C17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AC1C17">
        <w:rPr>
          <w:rFonts w:cstheme="minorHAnsi"/>
          <w:bCs/>
          <w:iCs/>
        </w:rPr>
        <w:t>£199k transfer of specific reserves within Communities.</w:t>
      </w:r>
    </w:p>
    <w:p w14:paraId="451BD05F" w14:textId="77777777" w:rsidR="0004363C" w:rsidRPr="00AC1C17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AC1C17">
        <w:rPr>
          <w:rFonts w:cstheme="minorHAnsi"/>
          <w:bCs/>
          <w:iCs/>
        </w:rPr>
        <w:t>£149k transfer of specific reserves within Customer and Digital.</w:t>
      </w:r>
    </w:p>
    <w:p w14:paraId="451BD060" w14:textId="77777777" w:rsidR="0004363C" w:rsidRPr="00AC1C17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AC1C17">
        <w:rPr>
          <w:rFonts w:cstheme="minorHAnsi"/>
          <w:bCs/>
          <w:iCs/>
        </w:rPr>
        <w:t xml:space="preserve">£50k transfer of specific reserves within </w:t>
      </w:r>
      <w:r w:rsidR="00AC1C17" w:rsidRPr="00AC1C17">
        <w:rPr>
          <w:rFonts w:cstheme="minorHAnsi"/>
          <w:bCs/>
          <w:iCs/>
        </w:rPr>
        <w:t>Planning and Development.</w:t>
      </w:r>
    </w:p>
    <w:p w14:paraId="451BD061" w14:textId="77777777" w:rsidR="00AC1C17" w:rsidRPr="00AC1C17" w:rsidRDefault="00B96555" w:rsidP="0012748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AC1C17">
        <w:rPr>
          <w:rFonts w:cstheme="minorHAnsi"/>
          <w:bCs/>
          <w:iCs/>
        </w:rPr>
        <w:t>The remainder of the transfers are various smaller adjustment.</w:t>
      </w:r>
    </w:p>
    <w:p w14:paraId="451BD062" w14:textId="77777777" w:rsidR="00127488" w:rsidRPr="00AC1C17" w:rsidRDefault="00127488" w:rsidP="00AC1C17">
      <w:pPr>
        <w:spacing w:after="0" w:line="240" w:lineRule="auto"/>
        <w:jc w:val="both"/>
        <w:rPr>
          <w:rFonts w:cs="Arial"/>
          <w:highlight w:val="yellow"/>
        </w:rPr>
      </w:pPr>
    </w:p>
    <w:p w14:paraId="451BD063" w14:textId="77777777" w:rsidR="00127488" w:rsidRPr="00F04043" w:rsidRDefault="00B96555" w:rsidP="0012748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F04043">
        <w:rPr>
          <w:rFonts w:cs="Arial"/>
        </w:rPr>
        <w:t>The use of earmarked reserves shown in the table above are reflected in the revenue budget monitoring position detailed in this report.</w:t>
      </w:r>
    </w:p>
    <w:p w14:paraId="451BD064" w14:textId="77777777" w:rsidR="0071652D" w:rsidRPr="00541E07" w:rsidRDefault="0071652D" w:rsidP="00E24AE3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65" w14:textId="77777777" w:rsidR="001A5D89" w:rsidRPr="00541E07" w:rsidRDefault="001A5D89" w:rsidP="00E24AE3">
      <w:pPr>
        <w:spacing w:after="0" w:line="240" w:lineRule="auto"/>
        <w:jc w:val="both"/>
        <w:rPr>
          <w:rFonts w:cstheme="minorHAnsi"/>
          <w:bCs/>
          <w:iCs/>
          <w:highlight w:val="yellow"/>
        </w:rPr>
      </w:pPr>
    </w:p>
    <w:p w14:paraId="451BD066" w14:textId="77777777" w:rsidR="00284E95" w:rsidRPr="005C4BA2" w:rsidRDefault="00B96555" w:rsidP="001668A0">
      <w:pPr>
        <w:pStyle w:val="Heading2"/>
      </w:pPr>
      <w:r w:rsidRPr="005C4BA2">
        <w:t xml:space="preserve">Climate change and air </w:t>
      </w:r>
      <w:r w:rsidRPr="005C4BA2">
        <w:t>quality</w:t>
      </w:r>
    </w:p>
    <w:p w14:paraId="451BD067" w14:textId="77777777" w:rsidR="004758E2" w:rsidRPr="005C4BA2" w:rsidRDefault="00B96555" w:rsidP="004758E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5C4BA2">
        <w:t>The work noted in this report does not impact the climate change and sustainability targets of the Councils Green Agenda and all environmental considerations are in place.</w:t>
      </w:r>
    </w:p>
    <w:p w14:paraId="451BD068" w14:textId="77777777" w:rsidR="001A5D89" w:rsidRPr="005C4BA2" w:rsidRDefault="001A5D89" w:rsidP="001A5D89">
      <w:pPr>
        <w:spacing w:after="0" w:line="240" w:lineRule="auto"/>
        <w:jc w:val="both"/>
        <w:rPr>
          <w:rFonts w:cstheme="minorHAnsi"/>
          <w:bCs/>
          <w:iCs/>
        </w:rPr>
      </w:pPr>
    </w:p>
    <w:p w14:paraId="451BD069" w14:textId="77777777" w:rsidR="000179AF" w:rsidRPr="005C4BA2" w:rsidRDefault="00B96555" w:rsidP="001668A0">
      <w:pPr>
        <w:pStyle w:val="Heading2"/>
      </w:pPr>
      <w:r w:rsidRPr="005C4BA2">
        <w:t>Equality and diversity</w:t>
      </w:r>
    </w:p>
    <w:p w14:paraId="451BD06A" w14:textId="133B4693" w:rsidR="000179AF" w:rsidRPr="005C4BA2" w:rsidRDefault="00B96555" w:rsidP="001A5D8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</w:pPr>
      <w:r w:rsidRPr="005C4BA2">
        <w:t>None</w:t>
      </w:r>
      <w:r>
        <w:t>.</w:t>
      </w:r>
      <w:bookmarkStart w:id="2" w:name="_GoBack"/>
      <w:bookmarkEnd w:id="2"/>
    </w:p>
    <w:p w14:paraId="451BD06B" w14:textId="77777777" w:rsidR="003042F6" w:rsidRPr="005C4BA2" w:rsidRDefault="003042F6" w:rsidP="004E031C">
      <w:pPr>
        <w:spacing w:after="0" w:line="240" w:lineRule="auto"/>
        <w:jc w:val="both"/>
        <w:rPr>
          <w:rFonts w:cstheme="minorHAnsi"/>
          <w:bCs/>
          <w:iCs/>
        </w:rPr>
      </w:pPr>
    </w:p>
    <w:p w14:paraId="451BD06C" w14:textId="77777777" w:rsidR="004758E2" w:rsidRPr="005C4BA2" w:rsidRDefault="00B96555" w:rsidP="001668A0">
      <w:pPr>
        <w:pStyle w:val="Heading2"/>
      </w:pPr>
      <w:r w:rsidRPr="005C4BA2">
        <w:t>Risk</w:t>
      </w:r>
    </w:p>
    <w:p w14:paraId="451BD06D" w14:textId="3FD06B99" w:rsidR="000179AF" w:rsidRPr="005C4BA2" w:rsidRDefault="00B96555" w:rsidP="001A5D8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</w:pPr>
      <w:r>
        <w:t>None</w:t>
      </w:r>
      <w:r w:rsidRPr="005C4BA2">
        <w:t>.</w:t>
      </w:r>
    </w:p>
    <w:p w14:paraId="451BD06E" w14:textId="77777777" w:rsidR="00B62624" w:rsidRPr="005C4BA2" w:rsidRDefault="00B62624" w:rsidP="00B62624">
      <w:pPr>
        <w:tabs>
          <w:tab w:val="left" w:pos="567"/>
        </w:tabs>
        <w:spacing w:after="0" w:line="240" w:lineRule="auto"/>
        <w:ind w:right="-284"/>
      </w:pPr>
    </w:p>
    <w:p w14:paraId="451BD06F" w14:textId="77777777" w:rsidR="000179AF" w:rsidRPr="005C4BA2" w:rsidRDefault="00B96555" w:rsidP="001668A0">
      <w:pPr>
        <w:pStyle w:val="Heading2"/>
      </w:pPr>
      <w:r w:rsidRPr="005C4BA2">
        <w:t>Comments of the Statutory Finance Officer</w:t>
      </w:r>
    </w:p>
    <w:p w14:paraId="451BD070" w14:textId="77777777" w:rsidR="000179AF" w:rsidRPr="005C4BA2" w:rsidRDefault="00B96555" w:rsidP="001A5D8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</w:pPr>
      <w:r w:rsidRPr="005C4BA2">
        <w:t>The financial implications are contained within this report.</w:t>
      </w:r>
    </w:p>
    <w:p w14:paraId="451BD071" w14:textId="77777777" w:rsidR="00DB5FAD" w:rsidRPr="005C4BA2" w:rsidRDefault="00DB5FAD" w:rsidP="00E42F6B">
      <w:pPr>
        <w:spacing w:after="0" w:line="240" w:lineRule="auto"/>
        <w:jc w:val="both"/>
        <w:rPr>
          <w:rFonts w:cstheme="minorHAnsi"/>
          <w:bCs/>
        </w:rPr>
      </w:pPr>
    </w:p>
    <w:p w14:paraId="451BD072" w14:textId="77777777" w:rsidR="000179AF" w:rsidRPr="005C4BA2" w:rsidRDefault="00B96555" w:rsidP="001668A0">
      <w:pPr>
        <w:pStyle w:val="Heading2"/>
      </w:pPr>
      <w:r w:rsidRPr="005C4BA2">
        <w:t>Comments of the Monitoring Officer</w:t>
      </w:r>
    </w:p>
    <w:p w14:paraId="451BD073" w14:textId="39BC98B6" w:rsidR="000179AF" w:rsidRPr="005C4BA2" w:rsidRDefault="00B96555" w:rsidP="001A5D8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</w:pPr>
      <w:r w:rsidRPr="005C4BA2">
        <w:t>None</w:t>
      </w:r>
      <w:r>
        <w:t>.</w:t>
      </w:r>
    </w:p>
    <w:p w14:paraId="451BD074" w14:textId="77777777" w:rsidR="000179AF" w:rsidRPr="005C4BA2" w:rsidRDefault="000179AF" w:rsidP="003042F6">
      <w:pPr>
        <w:spacing w:after="0" w:line="240" w:lineRule="auto"/>
        <w:jc w:val="both"/>
        <w:rPr>
          <w:rFonts w:cstheme="minorHAnsi"/>
          <w:bCs/>
        </w:rPr>
      </w:pPr>
    </w:p>
    <w:p w14:paraId="451BD075" w14:textId="77777777" w:rsidR="000179AF" w:rsidRPr="005C4BA2" w:rsidRDefault="00B96555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5C4BA2">
        <w:rPr>
          <w:rStyle w:val="Heading2Char"/>
          <w:rFonts w:eastAsiaTheme="minorHAnsi"/>
        </w:rPr>
        <w:t>Background documents</w:t>
      </w:r>
    </w:p>
    <w:p w14:paraId="451BD076" w14:textId="77777777" w:rsidR="003042F6" w:rsidRPr="005C4BA2" w:rsidRDefault="00B96555" w:rsidP="001A5D8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</w:pPr>
      <w:r w:rsidRPr="005C4BA2">
        <w:t>There are no background papers to this report.</w:t>
      </w:r>
    </w:p>
    <w:p w14:paraId="451BD077" w14:textId="77777777" w:rsidR="003042F6" w:rsidRPr="005C4BA2" w:rsidRDefault="003042F6" w:rsidP="003042F6">
      <w:pPr>
        <w:spacing w:after="0" w:line="240" w:lineRule="auto"/>
        <w:jc w:val="both"/>
        <w:rPr>
          <w:rFonts w:cstheme="minorHAnsi"/>
          <w:bCs/>
          <w:iCs/>
        </w:rPr>
      </w:pPr>
    </w:p>
    <w:p w14:paraId="451BD078" w14:textId="77777777" w:rsidR="000179AF" w:rsidRPr="005C4BA2" w:rsidRDefault="00B96555" w:rsidP="001668A0">
      <w:pPr>
        <w:pStyle w:val="Heading2"/>
      </w:pPr>
      <w:r w:rsidRPr="005C4BA2">
        <w:t xml:space="preserve">Appendices </w:t>
      </w:r>
    </w:p>
    <w:p w14:paraId="451BD079" w14:textId="77777777" w:rsidR="000179AF" w:rsidRPr="005C4BA2" w:rsidRDefault="00B96555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1 – Revenue 2021/22 - position at 3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1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</w:t>
      </w:r>
      <w:r w:rsidR="00541E0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March</w:t>
      </w: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202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</w:t>
      </w:r>
    </w:p>
    <w:p w14:paraId="451BD07A" w14:textId="77777777" w:rsidR="000179AF" w:rsidRPr="005C4BA2" w:rsidRDefault="00B96555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2 – Revenue Budget Movements at 3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1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</w:t>
      </w:r>
      <w:r w:rsidR="00541E0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March</w:t>
      </w: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202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</w:t>
      </w:r>
    </w:p>
    <w:p w14:paraId="451BD07B" w14:textId="77777777" w:rsidR="006321A4" w:rsidRPr="005C4BA2" w:rsidRDefault="00B96555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3 – 2021/22 Reserves Programme position at 3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1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</w:t>
      </w:r>
      <w:r w:rsidR="00541E0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March</w:t>
      </w: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202</w:t>
      </w:r>
      <w:r w:rsidR="00687657"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</w:t>
      </w:r>
    </w:p>
    <w:p w14:paraId="451BD07C" w14:textId="77777777" w:rsidR="00BE6AB6" w:rsidRPr="005C4BA2" w:rsidRDefault="00B96555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4 –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Current </w:t>
      </w:r>
      <w:r w:rsidRPr="005C4BA2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Staffing Vacancies </w:t>
      </w:r>
    </w:p>
    <w:p w14:paraId="451BD07D" w14:textId="77777777" w:rsidR="00CE2C2B" w:rsidRPr="00541E07" w:rsidRDefault="00CE2C2B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highlight w:val="yellow"/>
          <w:lang w:eastAsia="en-GB"/>
        </w:rPr>
      </w:pPr>
    </w:p>
    <w:p w14:paraId="451BD07E" w14:textId="77777777" w:rsidR="00A46A93" w:rsidRPr="00541E07" w:rsidRDefault="00A46A93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highlight w:val="yellow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950"/>
        <w:gridCol w:w="1369"/>
        <w:gridCol w:w="1081"/>
      </w:tblGrid>
      <w:tr w:rsidR="00FF1BE2" w14:paraId="451BD083" w14:textId="77777777" w:rsidTr="003042F6">
        <w:tc>
          <w:tcPr>
            <w:tcW w:w="2810" w:type="dxa"/>
            <w:shd w:val="clear" w:color="auto" w:fill="auto"/>
          </w:tcPr>
          <w:p w14:paraId="451BD07F" w14:textId="77777777" w:rsidR="00D4431F" w:rsidRPr="005C4BA2" w:rsidRDefault="00B96555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 xml:space="preserve">Report </w:t>
            </w:r>
            <w:r w:rsidRPr="005C4BA2">
              <w:rPr>
                <w:rFonts w:cstheme="minorHAnsi"/>
                <w:bCs/>
              </w:rPr>
              <w:t>Author:</w:t>
            </w:r>
          </w:p>
        </w:tc>
        <w:tc>
          <w:tcPr>
            <w:tcW w:w="3631" w:type="dxa"/>
          </w:tcPr>
          <w:p w14:paraId="451BD080" w14:textId="77777777" w:rsidR="00D4431F" w:rsidRPr="005C4BA2" w:rsidRDefault="00B96555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Email:</w:t>
            </w:r>
          </w:p>
        </w:tc>
        <w:tc>
          <w:tcPr>
            <w:tcW w:w="1384" w:type="dxa"/>
            <w:shd w:val="clear" w:color="auto" w:fill="auto"/>
          </w:tcPr>
          <w:p w14:paraId="451BD081" w14:textId="77777777" w:rsidR="00D4431F" w:rsidRPr="005C4BA2" w:rsidRDefault="00B96555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Telephone:</w:t>
            </w:r>
          </w:p>
        </w:tc>
        <w:tc>
          <w:tcPr>
            <w:tcW w:w="1083" w:type="dxa"/>
            <w:shd w:val="clear" w:color="auto" w:fill="auto"/>
          </w:tcPr>
          <w:p w14:paraId="451BD082" w14:textId="77777777" w:rsidR="00D4431F" w:rsidRPr="005C4BA2" w:rsidRDefault="00B96555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Date:</w:t>
            </w:r>
          </w:p>
        </w:tc>
      </w:tr>
      <w:tr w:rsidR="00FF1BE2" w14:paraId="451BD08C" w14:textId="77777777" w:rsidTr="005D3635">
        <w:trPr>
          <w:trHeight w:val="934"/>
        </w:trPr>
        <w:tc>
          <w:tcPr>
            <w:tcW w:w="2810" w:type="dxa"/>
            <w:shd w:val="clear" w:color="auto" w:fill="auto"/>
          </w:tcPr>
          <w:p w14:paraId="451BD084" w14:textId="77777777" w:rsidR="00D4431F" w:rsidRPr="005C4BA2" w:rsidRDefault="00B96555" w:rsidP="005D3635">
            <w:pPr>
              <w:spacing w:after="0" w:line="240" w:lineRule="auto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 xml:space="preserve">Neil Halton (Principal Management Accountant), </w:t>
            </w:r>
          </w:p>
          <w:p w14:paraId="451BD085" w14:textId="77777777" w:rsidR="004D61B3" w:rsidRPr="005C4BA2" w:rsidRDefault="00B96555" w:rsidP="005D3635">
            <w:pPr>
              <w:spacing w:after="0" w:line="240" w:lineRule="auto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lastRenderedPageBreak/>
              <w:t>Hema Chevli (Senior Management Accountant)</w:t>
            </w:r>
          </w:p>
        </w:tc>
        <w:tc>
          <w:tcPr>
            <w:tcW w:w="3631" w:type="dxa"/>
          </w:tcPr>
          <w:p w14:paraId="451BD086" w14:textId="77777777" w:rsidR="00830E2D" w:rsidRDefault="00B96555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Neil.Halton@southribble.gov.uk</w:t>
            </w:r>
          </w:p>
          <w:p w14:paraId="451BD087" w14:textId="77777777" w:rsidR="00133753" w:rsidRPr="005C4BA2" w:rsidRDefault="00B96555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Hemangini.Chevli@</w:t>
            </w:r>
            <w:r w:rsidR="005C4BA2" w:rsidRPr="005C4BA2">
              <w:rPr>
                <w:rFonts w:cstheme="minorHAnsi"/>
                <w:bCs/>
              </w:rPr>
              <w:t>southribble</w:t>
            </w:r>
            <w:r w:rsidRPr="005C4BA2">
              <w:rPr>
                <w:rFonts w:cstheme="minorHAnsi"/>
                <w:bCs/>
              </w:rPr>
              <w:t>.gov.uk</w:t>
            </w:r>
          </w:p>
        </w:tc>
        <w:tc>
          <w:tcPr>
            <w:tcW w:w="1384" w:type="dxa"/>
            <w:shd w:val="clear" w:color="auto" w:fill="auto"/>
          </w:tcPr>
          <w:p w14:paraId="451BD088" w14:textId="77777777" w:rsidR="00D4431F" w:rsidRPr="005C4BA2" w:rsidRDefault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083" w:type="dxa"/>
            <w:shd w:val="clear" w:color="auto" w:fill="auto"/>
          </w:tcPr>
          <w:p w14:paraId="451BD089" w14:textId="77777777" w:rsidR="00D4431F" w:rsidRDefault="00B96555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20</w:t>
            </w:r>
            <w:r w:rsidR="00133753" w:rsidRPr="005C4BA2">
              <w:rPr>
                <w:rFonts w:cstheme="minorHAnsi"/>
                <w:bCs/>
              </w:rPr>
              <w:t>/0</w:t>
            </w:r>
            <w:r w:rsidRPr="005C4BA2">
              <w:rPr>
                <w:rFonts w:cstheme="minorHAnsi"/>
                <w:bCs/>
              </w:rPr>
              <w:t>5</w:t>
            </w:r>
            <w:r w:rsidR="00133753" w:rsidRPr="005C4BA2">
              <w:rPr>
                <w:rFonts w:cstheme="minorHAnsi"/>
                <w:bCs/>
              </w:rPr>
              <w:t>/22</w:t>
            </w:r>
          </w:p>
          <w:p w14:paraId="451BD08A" w14:textId="77777777" w:rsidR="00830E2D" w:rsidRDefault="00830E2D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51BD08B" w14:textId="77777777" w:rsidR="00830E2D" w:rsidRPr="005C4BA2" w:rsidRDefault="00B96555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C4BA2">
              <w:rPr>
                <w:rFonts w:cstheme="minorHAnsi"/>
                <w:bCs/>
              </w:rPr>
              <w:t>20/05/22</w:t>
            </w:r>
          </w:p>
        </w:tc>
      </w:tr>
    </w:tbl>
    <w:p w14:paraId="451BD08D" w14:textId="77777777" w:rsidR="0025620C" w:rsidRPr="00BE6AB6" w:rsidRDefault="0025620C" w:rsidP="005D3635">
      <w:pPr>
        <w:rPr>
          <w:sz w:val="10"/>
          <w:szCs w:val="10"/>
          <w:lang w:val="en-US"/>
        </w:rPr>
      </w:pPr>
    </w:p>
    <w:sectPr w:rsidR="0025620C" w:rsidRPr="00BE6AB6" w:rsidSect="00D443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D096" w14:textId="77777777" w:rsidR="00000000" w:rsidRDefault="00B96555">
      <w:pPr>
        <w:spacing w:after="0" w:line="240" w:lineRule="auto"/>
      </w:pPr>
      <w:r>
        <w:separator/>
      </w:r>
    </w:p>
  </w:endnote>
  <w:endnote w:type="continuationSeparator" w:id="0">
    <w:p w14:paraId="451BD098" w14:textId="77777777" w:rsidR="00000000" w:rsidRDefault="00B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D092" w14:textId="77777777" w:rsidR="00000000" w:rsidRDefault="00B96555">
      <w:pPr>
        <w:spacing w:after="0" w:line="240" w:lineRule="auto"/>
      </w:pPr>
      <w:r>
        <w:separator/>
      </w:r>
    </w:p>
  </w:footnote>
  <w:footnote w:type="continuationSeparator" w:id="0">
    <w:p w14:paraId="451BD094" w14:textId="77777777" w:rsidR="00000000" w:rsidRDefault="00B9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D090" w14:textId="77777777" w:rsidR="00CF42B2" w:rsidRDefault="00CF42B2">
    <w:pPr>
      <w:pStyle w:val="Header"/>
    </w:pPr>
  </w:p>
  <w:p w14:paraId="451BD091" w14:textId="77777777" w:rsidR="00CF42B2" w:rsidRDefault="00CF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6D32"/>
    <w:multiLevelType w:val="hybridMultilevel"/>
    <w:tmpl w:val="7780F716"/>
    <w:lvl w:ilvl="0" w:tplc="AB76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B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6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8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F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5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03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88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6A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2B4B"/>
    <w:multiLevelType w:val="hybridMultilevel"/>
    <w:tmpl w:val="27D0AF2A"/>
    <w:lvl w:ilvl="0" w:tplc="3936214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CE8E72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A2EC926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721E6C0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7C7AF9C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C5E0CB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22ED78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711CBC8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5DE1E36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A9F2A64"/>
    <w:multiLevelType w:val="hybridMultilevel"/>
    <w:tmpl w:val="EB76C7C4"/>
    <w:lvl w:ilvl="0" w:tplc="E774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80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5E1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2E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4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6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5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40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46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24D4"/>
    <w:multiLevelType w:val="hybridMultilevel"/>
    <w:tmpl w:val="0CE2B5E6"/>
    <w:lvl w:ilvl="0" w:tplc="A1B8A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1AE5D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1AFB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E62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F820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26D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8E2A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8A74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E8C6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4019F"/>
    <w:multiLevelType w:val="hybridMultilevel"/>
    <w:tmpl w:val="B4720F8A"/>
    <w:lvl w:ilvl="0" w:tplc="69624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27ED9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CFADB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752922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B0B5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9E426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A147CE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068B96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0C92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ED2B08"/>
    <w:multiLevelType w:val="hybridMultilevel"/>
    <w:tmpl w:val="A2A66622"/>
    <w:lvl w:ilvl="0" w:tplc="4AA0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2C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AF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F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EF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28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3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5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E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42E2"/>
    <w:multiLevelType w:val="hybridMultilevel"/>
    <w:tmpl w:val="37ECB20A"/>
    <w:lvl w:ilvl="0" w:tplc="6C2C5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E6E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0D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8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66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6E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03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78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94A01"/>
    <w:multiLevelType w:val="hybridMultilevel"/>
    <w:tmpl w:val="93D0FF9A"/>
    <w:lvl w:ilvl="0" w:tplc="79AAFACA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D2F460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D030468C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E1CB4F6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C2EB582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CC1E4DC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5FB8ABAC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9782E8BA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AB8A2D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97811DD"/>
    <w:multiLevelType w:val="hybridMultilevel"/>
    <w:tmpl w:val="FA5C2D58"/>
    <w:lvl w:ilvl="0" w:tplc="39D4F898">
      <w:start w:val="1"/>
      <w:numFmt w:val="decimal"/>
      <w:lvlText w:val="%1."/>
      <w:lvlJc w:val="left"/>
      <w:pPr>
        <w:ind w:left="720" w:hanging="360"/>
      </w:pPr>
    </w:lvl>
    <w:lvl w:ilvl="1" w:tplc="A6DCDE3C" w:tentative="1">
      <w:start w:val="1"/>
      <w:numFmt w:val="lowerLetter"/>
      <w:lvlText w:val="%2."/>
      <w:lvlJc w:val="left"/>
      <w:pPr>
        <w:ind w:left="1440" w:hanging="360"/>
      </w:pPr>
    </w:lvl>
    <w:lvl w:ilvl="2" w:tplc="4A146BEA" w:tentative="1">
      <w:start w:val="1"/>
      <w:numFmt w:val="lowerRoman"/>
      <w:lvlText w:val="%3."/>
      <w:lvlJc w:val="right"/>
      <w:pPr>
        <w:ind w:left="2160" w:hanging="180"/>
      </w:pPr>
    </w:lvl>
    <w:lvl w:ilvl="3" w:tplc="87843EC8" w:tentative="1">
      <w:start w:val="1"/>
      <w:numFmt w:val="decimal"/>
      <w:lvlText w:val="%4."/>
      <w:lvlJc w:val="left"/>
      <w:pPr>
        <w:ind w:left="2880" w:hanging="360"/>
      </w:pPr>
    </w:lvl>
    <w:lvl w:ilvl="4" w:tplc="CD46841A" w:tentative="1">
      <w:start w:val="1"/>
      <w:numFmt w:val="lowerLetter"/>
      <w:lvlText w:val="%5."/>
      <w:lvlJc w:val="left"/>
      <w:pPr>
        <w:ind w:left="3600" w:hanging="360"/>
      </w:pPr>
    </w:lvl>
    <w:lvl w:ilvl="5" w:tplc="5056740C" w:tentative="1">
      <w:start w:val="1"/>
      <w:numFmt w:val="lowerRoman"/>
      <w:lvlText w:val="%6."/>
      <w:lvlJc w:val="right"/>
      <w:pPr>
        <w:ind w:left="4320" w:hanging="180"/>
      </w:pPr>
    </w:lvl>
    <w:lvl w:ilvl="6" w:tplc="902EDF36" w:tentative="1">
      <w:start w:val="1"/>
      <w:numFmt w:val="decimal"/>
      <w:lvlText w:val="%7."/>
      <w:lvlJc w:val="left"/>
      <w:pPr>
        <w:ind w:left="5040" w:hanging="360"/>
      </w:pPr>
    </w:lvl>
    <w:lvl w:ilvl="7" w:tplc="D33060E6" w:tentative="1">
      <w:start w:val="1"/>
      <w:numFmt w:val="lowerLetter"/>
      <w:lvlText w:val="%8."/>
      <w:lvlJc w:val="left"/>
      <w:pPr>
        <w:ind w:left="5760" w:hanging="360"/>
      </w:pPr>
    </w:lvl>
    <w:lvl w:ilvl="8" w:tplc="EE9C7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D2CDE"/>
    <w:multiLevelType w:val="hybridMultilevel"/>
    <w:tmpl w:val="5B6827D0"/>
    <w:lvl w:ilvl="0" w:tplc="0678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2A009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B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83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8B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2F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82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88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26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F00E5"/>
    <w:multiLevelType w:val="hybridMultilevel"/>
    <w:tmpl w:val="2348F0FC"/>
    <w:lvl w:ilvl="0" w:tplc="DE527D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0E509916">
      <w:start w:val="1"/>
      <w:numFmt w:val="lowerLetter"/>
      <w:lvlText w:val="%2."/>
      <w:lvlJc w:val="left"/>
      <w:pPr>
        <w:ind w:left="1080" w:hanging="360"/>
      </w:pPr>
    </w:lvl>
    <w:lvl w:ilvl="2" w:tplc="4DB47B22" w:tentative="1">
      <w:start w:val="1"/>
      <w:numFmt w:val="lowerRoman"/>
      <w:lvlText w:val="%3."/>
      <w:lvlJc w:val="right"/>
      <w:pPr>
        <w:ind w:left="1800" w:hanging="180"/>
      </w:pPr>
    </w:lvl>
    <w:lvl w:ilvl="3" w:tplc="3A8EDF12" w:tentative="1">
      <w:start w:val="1"/>
      <w:numFmt w:val="decimal"/>
      <w:lvlText w:val="%4."/>
      <w:lvlJc w:val="left"/>
      <w:pPr>
        <w:ind w:left="2520" w:hanging="360"/>
      </w:pPr>
    </w:lvl>
    <w:lvl w:ilvl="4" w:tplc="50BA55A6" w:tentative="1">
      <w:start w:val="1"/>
      <w:numFmt w:val="lowerLetter"/>
      <w:lvlText w:val="%5."/>
      <w:lvlJc w:val="left"/>
      <w:pPr>
        <w:ind w:left="3240" w:hanging="360"/>
      </w:pPr>
    </w:lvl>
    <w:lvl w:ilvl="5" w:tplc="4E20AA2C" w:tentative="1">
      <w:start w:val="1"/>
      <w:numFmt w:val="lowerRoman"/>
      <w:lvlText w:val="%6."/>
      <w:lvlJc w:val="right"/>
      <w:pPr>
        <w:ind w:left="3960" w:hanging="180"/>
      </w:pPr>
    </w:lvl>
    <w:lvl w:ilvl="6" w:tplc="09B023D2" w:tentative="1">
      <w:start w:val="1"/>
      <w:numFmt w:val="decimal"/>
      <w:lvlText w:val="%7."/>
      <w:lvlJc w:val="left"/>
      <w:pPr>
        <w:ind w:left="4680" w:hanging="360"/>
      </w:pPr>
    </w:lvl>
    <w:lvl w:ilvl="7" w:tplc="B0D674B2" w:tentative="1">
      <w:start w:val="1"/>
      <w:numFmt w:val="lowerLetter"/>
      <w:lvlText w:val="%8."/>
      <w:lvlJc w:val="left"/>
      <w:pPr>
        <w:ind w:left="5400" w:hanging="360"/>
      </w:pPr>
    </w:lvl>
    <w:lvl w:ilvl="8" w:tplc="617412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9602A0"/>
    <w:multiLevelType w:val="hybridMultilevel"/>
    <w:tmpl w:val="B004F562"/>
    <w:lvl w:ilvl="0" w:tplc="EBAE2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plc="452E71A0" w:tentative="1">
      <w:start w:val="1"/>
      <w:numFmt w:val="lowerLetter"/>
      <w:lvlText w:val="%2."/>
      <w:lvlJc w:val="left"/>
      <w:pPr>
        <w:ind w:left="1440" w:hanging="360"/>
      </w:pPr>
    </w:lvl>
    <w:lvl w:ilvl="2" w:tplc="98E8A02E" w:tentative="1">
      <w:start w:val="1"/>
      <w:numFmt w:val="lowerRoman"/>
      <w:lvlText w:val="%3."/>
      <w:lvlJc w:val="right"/>
      <w:pPr>
        <w:ind w:left="2160" w:hanging="180"/>
      </w:pPr>
    </w:lvl>
    <w:lvl w:ilvl="3" w:tplc="8E443438" w:tentative="1">
      <w:start w:val="1"/>
      <w:numFmt w:val="decimal"/>
      <w:lvlText w:val="%4."/>
      <w:lvlJc w:val="left"/>
      <w:pPr>
        <w:ind w:left="2880" w:hanging="360"/>
      </w:pPr>
    </w:lvl>
    <w:lvl w:ilvl="4" w:tplc="A76EAFFE" w:tentative="1">
      <w:start w:val="1"/>
      <w:numFmt w:val="lowerLetter"/>
      <w:lvlText w:val="%5."/>
      <w:lvlJc w:val="left"/>
      <w:pPr>
        <w:ind w:left="3600" w:hanging="360"/>
      </w:pPr>
    </w:lvl>
    <w:lvl w:ilvl="5" w:tplc="339425D0" w:tentative="1">
      <w:start w:val="1"/>
      <w:numFmt w:val="lowerRoman"/>
      <w:lvlText w:val="%6."/>
      <w:lvlJc w:val="right"/>
      <w:pPr>
        <w:ind w:left="4320" w:hanging="180"/>
      </w:pPr>
    </w:lvl>
    <w:lvl w:ilvl="6" w:tplc="07FA43BA" w:tentative="1">
      <w:start w:val="1"/>
      <w:numFmt w:val="decimal"/>
      <w:lvlText w:val="%7."/>
      <w:lvlJc w:val="left"/>
      <w:pPr>
        <w:ind w:left="5040" w:hanging="360"/>
      </w:pPr>
    </w:lvl>
    <w:lvl w:ilvl="7" w:tplc="9EF0C378" w:tentative="1">
      <w:start w:val="1"/>
      <w:numFmt w:val="lowerLetter"/>
      <w:lvlText w:val="%8."/>
      <w:lvlJc w:val="left"/>
      <w:pPr>
        <w:ind w:left="5760" w:hanging="360"/>
      </w:pPr>
    </w:lvl>
    <w:lvl w:ilvl="8" w:tplc="8D080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7638"/>
    <w:multiLevelType w:val="hybridMultilevel"/>
    <w:tmpl w:val="247ACA9A"/>
    <w:lvl w:ilvl="0" w:tplc="3418C4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CEA4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7080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E43C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24C3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C075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863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E04D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6491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524EC"/>
    <w:multiLevelType w:val="hybridMultilevel"/>
    <w:tmpl w:val="C83AE318"/>
    <w:lvl w:ilvl="0" w:tplc="E870A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EA4E5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26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7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A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C0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9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8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C2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81066"/>
    <w:multiLevelType w:val="hybridMultilevel"/>
    <w:tmpl w:val="29A03522"/>
    <w:lvl w:ilvl="0" w:tplc="60DA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28E1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0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A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61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63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5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7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41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E1721"/>
    <w:multiLevelType w:val="hybridMultilevel"/>
    <w:tmpl w:val="F22AED50"/>
    <w:lvl w:ilvl="0" w:tplc="E14CDF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F7A6F8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276DEF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78A313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144CD9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AF6768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16466A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3E4B3D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C37E35A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A317A7D"/>
    <w:multiLevelType w:val="hybridMultilevel"/>
    <w:tmpl w:val="AF20FC76"/>
    <w:lvl w:ilvl="0" w:tplc="88E2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plc="65EA26FC">
      <w:start w:val="1"/>
      <w:numFmt w:val="lowerLetter"/>
      <w:lvlText w:val="%2."/>
      <w:lvlJc w:val="left"/>
      <w:pPr>
        <w:ind w:left="1440" w:hanging="360"/>
      </w:pPr>
    </w:lvl>
    <w:lvl w:ilvl="2" w:tplc="10EA29BC" w:tentative="1">
      <w:start w:val="1"/>
      <w:numFmt w:val="lowerRoman"/>
      <w:lvlText w:val="%3."/>
      <w:lvlJc w:val="right"/>
      <w:pPr>
        <w:ind w:left="2160" w:hanging="180"/>
      </w:pPr>
    </w:lvl>
    <w:lvl w:ilvl="3" w:tplc="7BEEC20E" w:tentative="1">
      <w:start w:val="1"/>
      <w:numFmt w:val="decimal"/>
      <w:lvlText w:val="%4."/>
      <w:lvlJc w:val="left"/>
      <w:pPr>
        <w:ind w:left="2880" w:hanging="360"/>
      </w:pPr>
    </w:lvl>
    <w:lvl w:ilvl="4" w:tplc="3CFCF786" w:tentative="1">
      <w:start w:val="1"/>
      <w:numFmt w:val="lowerLetter"/>
      <w:lvlText w:val="%5."/>
      <w:lvlJc w:val="left"/>
      <w:pPr>
        <w:ind w:left="3600" w:hanging="360"/>
      </w:pPr>
    </w:lvl>
    <w:lvl w:ilvl="5" w:tplc="5F04BA38" w:tentative="1">
      <w:start w:val="1"/>
      <w:numFmt w:val="lowerRoman"/>
      <w:lvlText w:val="%6."/>
      <w:lvlJc w:val="right"/>
      <w:pPr>
        <w:ind w:left="4320" w:hanging="180"/>
      </w:pPr>
    </w:lvl>
    <w:lvl w:ilvl="6" w:tplc="7FE84402" w:tentative="1">
      <w:start w:val="1"/>
      <w:numFmt w:val="decimal"/>
      <w:lvlText w:val="%7."/>
      <w:lvlJc w:val="left"/>
      <w:pPr>
        <w:ind w:left="5040" w:hanging="360"/>
      </w:pPr>
    </w:lvl>
    <w:lvl w:ilvl="7" w:tplc="61DCBD68" w:tentative="1">
      <w:start w:val="1"/>
      <w:numFmt w:val="lowerLetter"/>
      <w:lvlText w:val="%8."/>
      <w:lvlJc w:val="left"/>
      <w:pPr>
        <w:ind w:left="5760" w:hanging="360"/>
      </w:pPr>
    </w:lvl>
    <w:lvl w:ilvl="8" w:tplc="DCA07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872A1"/>
    <w:multiLevelType w:val="hybridMultilevel"/>
    <w:tmpl w:val="700E460A"/>
    <w:lvl w:ilvl="0" w:tplc="236EA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E06AC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07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6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1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207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2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C7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05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54B2"/>
    <w:multiLevelType w:val="hybridMultilevel"/>
    <w:tmpl w:val="75B62ACE"/>
    <w:lvl w:ilvl="0" w:tplc="9728474A">
      <w:start w:val="1"/>
      <w:numFmt w:val="decimal"/>
      <w:lvlText w:val="%1."/>
      <w:lvlJc w:val="left"/>
      <w:pPr>
        <w:ind w:left="720" w:hanging="360"/>
      </w:pPr>
    </w:lvl>
    <w:lvl w:ilvl="1" w:tplc="506826E8" w:tentative="1">
      <w:start w:val="1"/>
      <w:numFmt w:val="lowerLetter"/>
      <w:lvlText w:val="%2."/>
      <w:lvlJc w:val="left"/>
      <w:pPr>
        <w:ind w:left="1440" w:hanging="360"/>
      </w:pPr>
    </w:lvl>
    <w:lvl w:ilvl="2" w:tplc="F1920A0A" w:tentative="1">
      <w:start w:val="1"/>
      <w:numFmt w:val="lowerRoman"/>
      <w:lvlText w:val="%3."/>
      <w:lvlJc w:val="right"/>
      <w:pPr>
        <w:ind w:left="2160" w:hanging="180"/>
      </w:pPr>
    </w:lvl>
    <w:lvl w:ilvl="3" w:tplc="745EB828" w:tentative="1">
      <w:start w:val="1"/>
      <w:numFmt w:val="decimal"/>
      <w:lvlText w:val="%4."/>
      <w:lvlJc w:val="left"/>
      <w:pPr>
        <w:ind w:left="2880" w:hanging="360"/>
      </w:pPr>
    </w:lvl>
    <w:lvl w:ilvl="4" w:tplc="6A689FC4" w:tentative="1">
      <w:start w:val="1"/>
      <w:numFmt w:val="lowerLetter"/>
      <w:lvlText w:val="%5."/>
      <w:lvlJc w:val="left"/>
      <w:pPr>
        <w:ind w:left="3600" w:hanging="360"/>
      </w:pPr>
    </w:lvl>
    <w:lvl w:ilvl="5" w:tplc="C3A073E8" w:tentative="1">
      <w:start w:val="1"/>
      <w:numFmt w:val="lowerRoman"/>
      <w:lvlText w:val="%6."/>
      <w:lvlJc w:val="right"/>
      <w:pPr>
        <w:ind w:left="4320" w:hanging="180"/>
      </w:pPr>
    </w:lvl>
    <w:lvl w:ilvl="6" w:tplc="F4CE199E" w:tentative="1">
      <w:start w:val="1"/>
      <w:numFmt w:val="decimal"/>
      <w:lvlText w:val="%7."/>
      <w:lvlJc w:val="left"/>
      <w:pPr>
        <w:ind w:left="5040" w:hanging="360"/>
      </w:pPr>
    </w:lvl>
    <w:lvl w:ilvl="7" w:tplc="06D473CC" w:tentative="1">
      <w:start w:val="1"/>
      <w:numFmt w:val="lowerLetter"/>
      <w:lvlText w:val="%8."/>
      <w:lvlJc w:val="left"/>
      <w:pPr>
        <w:ind w:left="5760" w:hanging="360"/>
      </w:pPr>
    </w:lvl>
    <w:lvl w:ilvl="8" w:tplc="B24CC3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FB"/>
    <w:rsid w:val="00012CCC"/>
    <w:rsid w:val="00014E88"/>
    <w:rsid w:val="0001771F"/>
    <w:rsid w:val="000179AF"/>
    <w:rsid w:val="00033017"/>
    <w:rsid w:val="0004363C"/>
    <w:rsid w:val="00045009"/>
    <w:rsid w:val="00054422"/>
    <w:rsid w:val="00095D63"/>
    <w:rsid w:val="000A1A64"/>
    <w:rsid w:val="000A5BE8"/>
    <w:rsid w:val="000A5FAE"/>
    <w:rsid w:val="000B0F89"/>
    <w:rsid w:val="000C11F8"/>
    <w:rsid w:val="000C4D64"/>
    <w:rsid w:val="000C7363"/>
    <w:rsid w:val="000D5F09"/>
    <w:rsid w:val="000F7773"/>
    <w:rsid w:val="001007B5"/>
    <w:rsid w:val="001073DC"/>
    <w:rsid w:val="00127488"/>
    <w:rsid w:val="00133753"/>
    <w:rsid w:val="00134D86"/>
    <w:rsid w:val="00154DD4"/>
    <w:rsid w:val="00155565"/>
    <w:rsid w:val="001668A0"/>
    <w:rsid w:val="00166EB7"/>
    <w:rsid w:val="00176D3D"/>
    <w:rsid w:val="0018643D"/>
    <w:rsid w:val="001A0CEA"/>
    <w:rsid w:val="001A5D89"/>
    <w:rsid w:val="001D75EF"/>
    <w:rsid w:val="002030DB"/>
    <w:rsid w:val="00207AFE"/>
    <w:rsid w:val="0021706E"/>
    <w:rsid w:val="0022275D"/>
    <w:rsid w:val="00224FA6"/>
    <w:rsid w:val="00232655"/>
    <w:rsid w:val="0023310C"/>
    <w:rsid w:val="00241030"/>
    <w:rsid w:val="0025620C"/>
    <w:rsid w:val="00284E95"/>
    <w:rsid w:val="00286579"/>
    <w:rsid w:val="00287D06"/>
    <w:rsid w:val="00294DAD"/>
    <w:rsid w:val="002A3921"/>
    <w:rsid w:val="002A4A7D"/>
    <w:rsid w:val="002A4BB9"/>
    <w:rsid w:val="002C6284"/>
    <w:rsid w:val="002E5391"/>
    <w:rsid w:val="003042F6"/>
    <w:rsid w:val="00316D94"/>
    <w:rsid w:val="00341259"/>
    <w:rsid w:val="00341BBD"/>
    <w:rsid w:val="00354F97"/>
    <w:rsid w:val="00362971"/>
    <w:rsid w:val="00366F0A"/>
    <w:rsid w:val="00370F37"/>
    <w:rsid w:val="003710B3"/>
    <w:rsid w:val="003764EC"/>
    <w:rsid w:val="00377F79"/>
    <w:rsid w:val="003808CA"/>
    <w:rsid w:val="003C1967"/>
    <w:rsid w:val="003C60FA"/>
    <w:rsid w:val="003C7501"/>
    <w:rsid w:val="003D0E3D"/>
    <w:rsid w:val="003D421D"/>
    <w:rsid w:val="003D6F5C"/>
    <w:rsid w:val="00405A10"/>
    <w:rsid w:val="004230F3"/>
    <w:rsid w:val="004232C9"/>
    <w:rsid w:val="004611A4"/>
    <w:rsid w:val="0046202D"/>
    <w:rsid w:val="0046245D"/>
    <w:rsid w:val="00471C00"/>
    <w:rsid w:val="00472D5F"/>
    <w:rsid w:val="004758E2"/>
    <w:rsid w:val="004A4479"/>
    <w:rsid w:val="004B610D"/>
    <w:rsid w:val="004B7533"/>
    <w:rsid w:val="004C0CCE"/>
    <w:rsid w:val="004C2A6C"/>
    <w:rsid w:val="004C7497"/>
    <w:rsid w:val="004D61B3"/>
    <w:rsid w:val="004E031C"/>
    <w:rsid w:val="004E320A"/>
    <w:rsid w:val="004E5F92"/>
    <w:rsid w:val="004F10AA"/>
    <w:rsid w:val="0050267C"/>
    <w:rsid w:val="00506414"/>
    <w:rsid w:val="00525076"/>
    <w:rsid w:val="0052511C"/>
    <w:rsid w:val="005268CF"/>
    <w:rsid w:val="005275AB"/>
    <w:rsid w:val="00536A36"/>
    <w:rsid w:val="00537E92"/>
    <w:rsid w:val="005406FE"/>
    <w:rsid w:val="00541E07"/>
    <w:rsid w:val="00543157"/>
    <w:rsid w:val="005531E4"/>
    <w:rsid w:val="00555C2F"/>
    <w:rsid w:val="00556EE1"/>
    <w:rsid w:val="00563A3D"/>
    <w:rsid w:val="0056464E"/>
    <w:rsid w:val="005647DE"/>
    <w:rsid w:val="00565957"/>
    <w:rsid w:val="00592569"/>
    <w:rsid w:val="00593659"/>
    <w:rsid w:val="005C4BA2"/>
    <w:rsid w:val="005D3635"/>
    <w:rsid w:val="005E583B"/>
    <w:rsid w:val="005F1332"/>
    <w:rsid w:val="005F529A"/>
    <w:rsid w:val="00601548"/>
    <w:rsid w:val="00625FD5"/>
    <w:rsid w:val="006312C9"/>
    <w:rsid w:val="00631B0C"/>
    <w:rsid w:val="006321A4"/>
    <w:rsid w:val="00636942"/>
    <w:rsid w:val="00662BE9"/>
    <w:rsid w:val="006659A1"/>
    <w:rsid w:val="0067111E"/>
    <w:rsid w:val="0068587F"/>
    <w:rsid w:val="00687657"/>
    <w:rsid w:val="00693206"/>
    <w:rsid w:val="006B7011"/>
    <w:rsid w:val="006B77FF"/>
    <w:rsid w:val="006C1482"/>
    <w:rsid w:val="006C321B"/>
    <w:rsid w:val="006D5428"/>
    <w:rsid w:val="006E5466"/>
    <w:rsid w:val="006F0957"/>
    <w:rsid w:val="006F65A8"/>
    <w:rsid w:val="00704C7C"/>
    <w:rsid w:val="00704F33"/>
    <w:rsid w:val="007142F7"/>
    <w:rsid w:val="0071652D"/>
    <w:rsid w:val="00734536"/>
    <w:rsid w:val="007446C6"/>
    <w:rsid w:val="00771F55"/>
    <w:rsid w:val="00776CCB"/>
    <w:rsid w:val="007815C3"/>
    <w:rsid w:val="007A003C"/>
    <w:rsid w:val="007C20C9"/>
    <w:rsid w:val="007C4A05"/>
    <w:rsid w:val="007C6502"/>
    <w:rsid w:val="007D1550"/>
    <w:rsid w:val="00801F57"/>
    <w:rsid w:val="00830E2D"/>
    <w:rsid w:val="008324CA"/>
    <w:rsid w:val="008355B5"/>
    <w:rsid w:val="00835A10"/>
    <w:rsid w:val="00837C0A"/>
    <w:rsid w:val="00855F0D"/>
    <w:rsid w:val="00856F73"/>
    <w:rsid w:val="00872672"/>
    <w:rsid w:val="00881190"/>
    <w:rsid w:val="0088181D"/>
    <w:rsid w:val="00883AC9"/>
    <w:rsid w:val="00885719"/>
    <w:rsid w:val="00886CD7"/>
    <w:rsid w:val="008D5982"/>
    <w:rsid w:val="008E195F"/>
    <w:rsid w:val="008E68D0"/>
    <w:rsid w:val="00905A7C"/>
    <w:rsid w:val="0091189E"/>
    <w:rsid w:val="0091618D"/>
    <w:rsid w:val="00925937"/>
    <w:rsid w:val="00926BD4"/>
    <w:rsid w:val="00942F8F"/>
    <w:rsid w:val="00952E49"/>
    <w:rsid w:val="00953774"/>
    <w:rsid w:val="00960353"/>
    <w:rsid w:val="0098082A"/>
    <w:rsid w:val="009860E8"/>
    <w:rsid w:val="00986ECC"/>
    <w:rsid w:val="0099012D"/>
    <w:rsid w:val="009B627B"/>
    <w:rsid w:val="009D449E"/>
    <w:rsid w:val="009E5C79"/>
    <w:rsid w:val="009F5782"/>
    <w:rsid w:val="009F7FD2"/>
    <w:rsid w:val="00A33049"/>
    <w:rsid w:val="00A33BBC"/>
    <w:rsid w:val="00A3501D"/>
    <w:rsid w:val="00A46A93"/>
    <w:rsid w:val="00A630A0"/>
    <w:rsid w:val="00A6455D"/>
    <w:rsid w:val="00A7137B"/>
    <w:rsid w:val="00A71CCC"/>
    <w:rsid w:val="00A9451B"/>
    <w:rsid w:val="00AB3A84"/>
    <w:rsid w:val="00AB4F95"/>
    <w:rsid w:val="00AC1C17"/>
    <w:rsid w:val="00AD47C9"/>
    <w:rsid w:val="00AF0274"/>
    <w:rsid w:val="00B0080D"/>
    <w:rsid w:val="00B06A9E"/>
    <w:rsid w:val="00B12F8D"/>
    <w:rsid w:val="00B13D13"/>
    <w:rsid w:val="00B14238"/>
    <w:rsid w:val="00B20F6A"/>
    <w:rsid w:val="00B26EA0"/>
    <w:rsid w:val="00B57ECC"/>
    <w:rsid w:val="00B600CC"/>
    <w:rsid w:val="00B61D78"/>
    <w:rsid w:val="00B62624"/>
    <w:rsid w:val="00B70898"/>
    <w:rsid w:val="00B74F8F"/>
    <w:rsid w:val="00B7654A"/>
    <w:rsid w:val="00B83DFF"/>
    <w:rsid w:val="00B924B8"/>
    <w:rsid w:val="00B9263A"/>
    <w:rsid w:val="00B96555"/>
    <w:rsid w:val="00BA0B05"/>
    <w:rsid w:val="00BB14C5"/>
    <w:rsid w:val="00BC1FF7"/>
    <w:rsid w:val="00BC45F6"/>
    <w:rsid w:val="00BC5EBC"/>
    <w:rsid w:val="00BE297F"/>
    <w:rsid w:val="00BE6AB6"/>
    <w:rsid w:val="00C01720"/>
    <w:rsid w:val="00C07CD1"/>
    <w:rsid w:val="00C1261A"/>
    <w:rsid w:val="00C17783"/>
    <w:rsid w:val="00C2242D"/>
    <w:rsid w:val="00C235DB"/>
    <w:rsid w:val="00C25C4D"/>
    <w:rsid w:val="00C319D5"/>
    <w:rsid w:val="00C3608F"/>
    <w:rsid w:val="00C37B43"/>
    <w:rsid w:val="00C4130A"/>
    <w:rsid w:val="00C44C1F"/>
    <w:rsid w:val="00C47F76"/>
    <w:rsid w:val="00C62B30"/>
    <w:rsid w:val="00C73D12"/>
    <w:rsid w:val="00C7547B"/>
    <w:rsid w:val="00C76D29"/>
    <w:rsid w:val="00C80488"/>
    <w:rsid w:val="00C806EA"/>
    <w:rsid w:val="00C94503"/>
    <w:rsid w:val="00CA0643"/>
    <w:rsid w:val="00CA467F"/>
    <w:rsid w:val="00CB6FDC"/>
    <w:rsid w:val="00CC6FD0"/>
    <w:rsid w:val="00CD73C7"/>
    <w:rsid w:val="00CE2C2B"/>
    <w:rsid w:val="00CF42B2"/>
    <w:rsid w:val="00CF5A83"/>
    <w:rsid w:val="00CF77B4"/>
    <w:rsid w:val="00D1305C"/>
    <w:rsid w:val="00D16A1B"/>
    <w:rsid w:val="00D316E9"/>
    <w:rsid w:val="00D40BFB"/>
    <w:rsid w:val="00D43E5A"/>
    <w:rsid w:val="00D4431F"/>
    <w:rsid w:val="00D526B0"/>
    <w:rsid w:val="00D568B2"/>
    <w:rsid w:val="00D820C2"/>
    <w:rsid w:val="00D96DE5"/>
    <w:rsid w:val="00D97342"/>
    <w:rsid w:val="00DB5FAD"/>
    <w:rsid w:val="00DD3583"/>
    <w:rsid w:val="00DF312A"/>
    <w:rsid w:val="00E04DC8"/>
    <w:rsid w:val="00E06364"/>
    <w:rsid w:val="00E22E70"/>
    <w:rsid w:val="00E24AE3"/>
    <w:rsid w:val="00E330A0"/>
    <w:rsid w:val="00E42F6B"/>
    <w:rsid w:val="00E64B5E"/>
    <w:rsid w:val="00EA6DCC"/>
    <w:rsid w:val="00EB56AF"/>
    <w:rsid w:val="00EB725A"/>
    <w:rsid w:val="00EC3FDA"/>
    <w:rsid w:val="00ED4FF1"/>
    <w:rsid w:val="00EE7D3B"/>
    <w:rsid w:val="00F04043"/>
    <w:rsid w:val="00F17172"/>
    <w:rsid w:val="00F20220"/>
    <w:rsid w:val="00F210A6"/>
    <w:rsid w:val="00F358E1"/>
    <w:rsid w:val="00F623D5"/>
    <w:rsid w:val="00FA71DD"/>
    <w:rsid w:val="00FA7715"/>
    <w:rsid w:val="00FC02CD"/>
    <w:rsid w:val="00FC33FE"/>
    <w:rsid w:val="00FD3A41"/>
    <w:rsid w:val="00FF1BE2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CF14"/>
  <w15:docId w15:val="{E7EF192C-83D3-4F89-9740-706D697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68A0"/>
    <w:pPr>
      <w:spacing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68A0"/>
    <w:rPr>
      <w:rFonts w:asciiTheme="majorHAnsi" w:eastAsia="Times New Roman" w:hAnsiTheme="majorHAnsi" w:cstheme="majorHAnsi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link w:val="ListParagraphChar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CommentReference">
    <w:name w:val="annotation reference"/>
    <w:uiPriority w:val="99"/>
    <w:rsid w:val="0083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C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0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0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2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1DBA96-FB32-4604-93F8-C0032554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Hemangini Chevli</dc:creator>
  <cp:lastModifiedBy>Clare Gornall</cp:lastModifiedBy>
  <cp:revision>9</cp:revision>
  <cp:lastPrinted>2022-05-26T08:13:00Z</cp:lastPrinted>
  <dcterms:created xsi:type="dcterms:W3CDTF">2022-05-26T08:57:00Z</dcterms:created>
  <dcterms:modified xsi:type="dcterms:W3CDTF">2022-06-07T12:18:00Z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Budget and Performance Panel</vt:lpwstr>
  </property>
  <property fmtid="{D5CDD505-2E9C-101B-9397-08002B2CF9AE}" pid="3" name="IssueTitle">
    <vt:lpwstr>Revenue Budget Outturn 2021/22</vt:lpwstr>
  </property>
  <property fmtid="{D5CDD505-2E9C-101B-9397-08002B2CF9AE}" pid="4" name="LeadDirector">
    <vt:lpwstr>Director of Finance and Section 151 Officer</vt:lpwstr>
  </property>
  <property fmtid="{D5CDD505-2E9C-101B-9397-08002B2CF9AE}" pid="5" name="LeadMember">
    <vt:lpwstr>Cabinet Member (Finance, Property and Assets)</vt:lpwstr>
  </property>
  <property fmtid="{D5CDD505-2E9C-101B-9397-08002B2CF9AE}" pid="6" name="LeadOfficer">
    <vt:lpwstr>Hemangini Chevli, Neil Halton, Louise Mattinson, James McNulty</vt:lpwstr>
  </property>
  <property fmtid="{D5CDD505-2E9C-101B-9397-08002B2CF9AE}" pid="7" name="LeadOfficerEmail">
    <vt:lpwstr>Hemangini.Chevli@chorley.gov.uk, neil.halton@southribble.gov.uk, louise.mattinson@southribble.gov.uk, james.mcnulty@southribble.gov.uk</vt:lpwstr>
  </property>
  <property fmtid="{D5CDD505-2E9C-101B-9397-08002B2CF9AE}" pid="8" name="LeadOfficerPost">
    <vt:lpwstr>Senior Management Accountant, Senior Management Accountant, Director of Finance and Section 151 Officer, Senior Management Accountant</vt:lpwstr>
  </property>
  <property fmtid="{D5CDD505-2E9C-101B-9397-08002B2CF9AE}" pid="9" name="MeetingDate">
    <vt:lpwstr>Monday, 20 June 2022</vt:lpwstr>
  </property>
  <property fmtid="{D5CDD505-2E9C-101B-9397-08002B2CF9AE}" pid="10" name="MeetingDateLegal">
    <vt:lpwstr>MeetingDateLegal</vt:lpwstr>
  </property>
</Properties>
</file>